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9" w:rsidRDefault="00115AB9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B9">
        <w:rPr>
          <w:rFonts w:ascii="Times New Roman" w:hAnsi="Times New Roman" w:cs="Times New Roman"/>
          <w:sz w:val="28"/>
          <w:szCs w:val="28"/>
        </w:rPr>
        <w:t>Схема размещения объекта капитального строительства на земельном участке с кадастровым номером 41:05:0101007:532 по ул. Магистральная, 150, г. Елизово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B9" w:rsidRPr="00115AB9" w:rsidRDefault="00115AB9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5463" cy="4960586"/>
            <wp:effectExtent l="19050" t="0" r="0" b="0"/>
            <wp:docPr id="3" name="Рисунок 3" descr="C:\Users\work\Desktop\Оповещения с 24.07\1. 007 532 ул. Магистральная, 150\Схема размещения объекта капитального стро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Оповещения с 24.07\1. 007 532 ул. Магистральная, 150\Схема размещения объекта капитального стро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77" cy="49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B9" w:rsidRPr="00115AB9" w:rsidSect="0011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AB9"/>
    <w:rsid w:val="00115AB9"/>
    <w:rsid w:val="004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2020-07-24T02:46:00Z</dcterms:created>
  <dcterms:modified xsi:type="dcterms:W3CDTF">2020-07-24T02:49:00Z</dcterms:modified>
</cp:coreProperties>
</file>