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42" w:rsidRDefault="00F81308" w:rsidP="00F84A42">
      <w:pPr>
        <w:tabs>
          <w:tab w:val="left" w:pos="3870"/>
          <w:tab w:val="left" w:pos="4140"/>
          <w:tab w:val="right" w:pos="9355"/>
        </w:tabs>
      </w:pPr>
      <w:r>
        <w:tab/>
      </w: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EA668D" w:rsidRDefault="00EA668D" w:rsidP="00B815C8">
      <w:pPr>
        <w:jc w:val="right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ab/>
      </w:r>
      <w:r>
        <w:rPr>
          <w:rStyle w:val="a8"/>
          <w:i w:val="0"/>
          <w:sz w:val="26"/>
          <w:szCs w:val="26"/>
        </w:rPr>
        <w:tab/>
        <w:t>ПРОЕКТ</w:t>
      </w:r>
    </w:p>
    <w:p w:rsidR="00EA668D" w:rsidRDefault="00EA668D" w:rsidP="00B815C8">
      <w:pPr>
        <w:jc w:val="right"/>
        <w:rPr>
          <w:rStyle w:val="a8"/>
          <w:i w:val="0"/>
          <w:sz w:val="26"/>
          <w:szCs w:val="2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857851" w:rsidP="00D91C47">
      <w:pPr>
        <w:jc w:val="center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                  </w:t>
      </w:r>
      <w:r w:rsidR="00D91C47" w:rsidRPr="00D91C47">
        <w:rPr>
          <w:rStyle w:val="a8"/>
          <w:i w:val="0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 xml:space="preserve">енностям </w:t>
      </w:r>
      <w:r w:rsidR="00501745">
        <w:rPr>
          <w:sz w:val="26"/>
          <w:szCs w:val="26"/>
        </w:rPr>
        <w:t>при осуществлении</w:t>
      </w:r>
      <w:r w:rsidR="007C5909">
        <w:rPr>
          <w:sz w:val="26"/>
          <w:szCs w:val="26"/>
        </w:rPr>
        <w:t xml:space="preserve"> муниципально</w:t>
      </w:r>
      <w:r w:rsidR="00501745">
        <w:rPr>
          <w:sz w:val="26"/>
          <w:szCs w:val="26"/>
        </w:rPr>
        <w:t>го</w:t>
      </w:r>
      <w:r w:rsidR="007C5909">
        <w:rPr>
          <w:sz w:val="26"/>
          <w:szCs w:val="26"/>
        </w:rPr>
        <w:t xml:space="preserve"> жилищно</w:t>
      </w:r>
      <w:r w:rsidR="00501745">
        <w:rPr>
          <w:sz w:val="26"/>
          <w:szCs w:val="26"/>
        </w:rPr>
        <w:t>го</w:t>
      </w:r>
      <w:r w:rsidR="007C5909">
        <w:rPr>
          <w:sz w:val="26"/>
          <w:szCs w:val="26"/>
        </w:rPr>
        <w:t xml:space="preserve"> контрол</w:t>
      </w:r>
      <w:r w:rsidR="00501745">
        <w:rPr>
          <w:sz w:val="26"/>
          <w:szCs w:val="26"/>
        </w:rPr>
        <w:t>я</w:t>
      </w:r>
      <w:r w:rsidR="007422F9" w:rsidRPr="005F1527">
        <w:rPr>
          <w:sz w:val="26"/>
          <w:szCs w:val="26"/>
        </w:rPr>
        <w:t xml:space="preserve"> на 202</w:t>
      </w:r>
      <w:r w:rsidR="006F003E">
        <w:rPr>
          <w:sz w:val="26"/>
          <w:szCs w:val="26"/>
        </w:rPr>
        <w:t>4</w:t>
      </w:r>
      <w:r w:rsidR="007422F9" w:rsidRPr="005F1527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7C5909">
              <w:rPr>
                <w:sz w:val="26"/>
                <w:szCs w:val="26"/>
              </w:rPr>
              <w:t xml:space="preserve">по муниципальному жилищному контролю </w:t>
            </w:r>
            <w:r w:rsidR="007422F9" w:rsidRPr="005F1527">
              <w:rPr>
                <w:sz w:val="26"/>
                <w:szCs w:val="26"/>
              </w:rPr>
              <w:t>на 202</w:t>
            </w:r>
            <w:r w:rsidR="006F003E">
              <w:rPr>
                <w:sz w:val="26"/>
                <w:szCs w:val="26"/>
              </w:rPr>
              <w:t>4</w:t>
            </w:r>
            <w:r w:rsidR="007422F9" w:rsidRPr="005F1527">
              <w:rPr>
                <w:sz w:val="26"/>
                <w:szCs w:val="26"/>
              </w:rPr>
              <w:t xml:space="preserve"> год</w:t>
            </w:r>
            <w:r w:rsidR="0011374B">
              <w:rPr>
                <w:sz w:val="26"/>
                <w:szCs w:val="26"/>
              </w:rPr>
              <w:t>.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AB6F1D" w:rsidP="00C91D6E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 муниципального</w:t>
            </w:r>
            <w:r w:rsidR="00C91D6E">
              <w:rPr>
                <w:sz w:val="26"/>
                <w:szCs w:val="26"/>
              </w:rPr>
              <w:t xml:space="preserve"> жилищного</w:t>
            </w:r>
            <w:r w:rsidRPr="005F1527">
              <w:rPr>
                <w:sz w:val="26"/>
                <w:szCs w:val="26"/>
              </w:rPr>
              <w:t xml:space="preserve"> контроля </w:t>
            </w:r>
            <w:r w:rsidR="00C91D6E">
              <w:rPr>
                <w:sz w:val="26"/>
                <w:szCs w:val="26"/>
              </w:rPr>
              <w:t>Управления жилищно-коммунального хозяйства а</w:t>
            </w:r>
            <w:r w:rsidR="007422F9" w:rsidRPr="005F1527">
              <w:rPr>
                <w:sz w:val="26"/>
                <w:szCs w:val="26"/>
              </w:rPr>
              <w:t xml:space="preserve">дминистрации </w:t>
            </w:r>
            <w:proofErr w:type="spellStart"/>
            <w:r w:rsidR="00C91D6E">
              <w:rPr>
                <w:sz w:val="26"/>
                <w:szCs w:val="26"/>
              </w:rPr>
              <w:t>Елизовского</w:t>
            </w:r>
            <w:proofErr w:type="spellEnd"/>
            <w:r w:rsidR="00C91D6E">
              <w:rPr>
                <w:sz w:val="26"/>
                <w:szCs w:val="26"/>
              </w:rPr>
              <w:t xml:space="preserve"> городского поселения</w:t>
            </w:r>
            <w:r w:rsidR="007422F9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 xml:space="preserve">(далее - Отдел </w:t>
            </w:r>
            <w:r w:rsidR="00C91D6E">
              <w:rPr>
                <w:sz w:val="26"/>
                <w:szCs w:val="26"/>
              </w:rPr>
              <w:t>муниципального жилищного контроля</w:t>
            </w:r>
            <w:r w:rsidRPr="005F1527">
              <w:rPr>
                <w:sz w:val="26"/>
                <w:szCs w:val="26"/>
              </w:rPr>
              <w:t>)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C91D6E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C91D6E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C91D6E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="00501745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C91D6E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lastRenderedPageBreak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6F003E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6F003E">
              <w:rPr>
                <w:sz w:val="26"/>
                <w:szCs w:val="26"/>
              </w:rPr>
              <w:t>4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C91D6E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501745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 xml:space="preserve">муниципального жилищного </w:t>
      </w:r>
      <w:r w:rsidR="00830CBA"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>енностям по муниципальному жилищному контролю</w:t>
      </w:r>
      <w:r w:rsidR="00F45C18" w:rsidRPr="005F1527">
        <w:rPr>
          <w:sz w:val="26"/>
          <w:szCs w:val="26"/>
        </w:rPr>
        <w:t xml:space="preserve"> на 202</w:t>
      </w:r>
      <w:r w:rsidR="006F003E">
        <w:rPr>
          <w:sz w:val="26"/>
          <w:szCs w:val="26"/>
        </w:rPr>
        <w:t>4</w:t>
      </w:r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C91D6E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50029">
        <w:rPr>
          <w:sz w:val="26"/>
          <w:szCs w:val="26"/>
        </w:rPr>
        <w:t xml:space="preserve"> индивидуальные предприниматели, осуществляющие эксплуатацию жилищного фонд.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C91D6E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По результатам контрольных мероприятий, проведенных в</w:t>
      </w:r>
      <w:r w:rsidR="00C91D6E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текущем периоде, наиболее значимыми проблемами являются:</w:t>
      </w:r>
    </w:p>
    <w:p w:rsidR="001167CF" w:rsidRPr="005F1527" w:rsidRDefault="001167CF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C91D6E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 w:rsidR="00D81811"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6F3335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C91D6E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C91D6E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C91D6E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4.</w:t>
      </w:r>
      <w:r w:rsidR="00C91D6E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 xml:space="preserve">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C91D6E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F84A42" w:rsidRPr="00A52F3A" w:rsidRDefault="00F84A42" w:rsidP="00830CBA">
      <w:pPr>
        <w:jc w:val="center"/>
        <w:rPr>
          <w:bCs/>
          <w:sz w:val="26"/>
          <w:szCs w:val="26"/>
        </w:rPr>
      </w:pPr>
    </w:p>
    <w:p w:rsidR="00A36477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p w:rsidR="00F84A42" w:rsidRPr="00A52F3A" w:rsidRDefault="00F84A42" w:rsidP="00A16CEC">
      <w:pPr>
        <w:adjustRightInd w:val="0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DA1220">
        <w:trPr>
          <w:trHeight w:val="1124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</w:t>
            </w:r>
            <w:r w:rsidR="00C91D6E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C91D6E">
              <w:rPr>
                <w:sz w:val="26"/>
                <w:szCs w:val="26"/>
              </w:rPr>
              <w:t>Елизовского</w:t>
            </w:r>
            <w:proofErr w:type="spellEnd"/>
            <w:r w:rsidR="00C91D6E">
              <w:rPr>
                <w:sz w:val="26"/>
                <w:szCs w:val="26"/>
              </w:rPr>
              <w:t xml:space="preserve"> городского поселения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 xml:space="preserve">ведений об изменениях, внесенных в нормативные правовые акты, регулирующие </w:t>
            </w:r>
            <w:r w:rsidR="007F15DE" w:rsidRPr="005F1527">
              <w:rPr>
                <w:sz w:val="26"/>
                <w:szCs w:val="26"/>
              </w:rPr>
              <w:lastRenderedPageBreak/>
              <w:t>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7F15DE" w:rsidRPr="005F1527" w:rsidRDefault="008A580E" w:rsidP="00DA122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BB3C4D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7F15D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 xml:space="preserve">Начальник, </w:t>
            </w:r>
            <w:r w:rsidR="00C91D6E"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 w:rsidR="00C91D6E">
              <w:rPr>
                <w:sz w:val="26"/>
                <w:szCs w:val="26"/>
              </w:rPr>
              <w:t>о</w:t>
            </w:r>
            <w:r w:rsidR="00C91D6E" w:rsidRPr="005F1527">
              <w:rPr>
                <w:sz w:val="26"/>
                <w:szCs w:val="26"/>
              </w:rPr>
              <w:t>тдел</w:t>
            </w:r>
            <w:r w:rsidR="00C91D6E">
              <w:rPr>
                <w:sz w:val="26"/>
                <w:szCs w:val="26"/>
              </w:rPr>
              <w:t>а</w:t>
            </w:r>
            <w:r w:rsidR="00C91D6E" w:rsidRPr="005F1527">
              <w:rPr>
                <w:sz w:val="26"/>
                <w:szCs w:val="26"/>
              </w:rPr>
              <w:t xml:space="preserve"> </w:t>
            </w:r>
            <w:r w:rsidR="00C91D6E">
              <w:rPr>
                <w:sz w:val="26"/>
                <w:szCs w:val="26"/>
              </w:rPr>
              <w:t xml:space="preserve">муниципального жилищного контроля 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260B6F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1 </w:t>
            </w:r>
            <w:r w:rsidR="005F1527"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F1527" w:rsidRPr="005F1527" w:rsidRDefault="005F1527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 w:rsidR="00C91D6E">
              <w:rPr>
                <w:sz w:val="26"/>
                <w:szCs w:val="26"/>
              </w:rPr>
              <w:t xml:space="preserve"> </w:t>
            </w:r>
          </w:p>
          <w:p w:rsidR="005F1527" w:rsidRPr="005F1527" w:rsidRDefault="00C91D6E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муниципального жилищного контроля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DA1220">
        <w:trPr>
          <w:trHeight w:val="277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 w:rsidR="00B43746">
              <w:rPr>
                <w:sz w:val="26"/>
                <w:szCs w:val="26"/>
              </w:rPr>
              <w:t>ебований</w:t>
            </w:r>
            <w:r w:rsidR="00B43746">
              <w:rPr>
                <w:sz w:val="26"/>
                <w:szCs w:val="26"/>
              </w:rPr>
              <w:br/>
              <w:t>в сфере муниципального жилищного контроля</w:t>
            </w:r>
            <w:r w:rsidR="00A64C85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 xml:space="preserve"> </w:t>
            </w:r>
          </w:p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муниципального жилищного контроля</w:t>
            </w:r>
          </w:p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C91D6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C91D6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C91D6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C91D6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 w:rsidR="00C54A94"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DA1220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="00DA1220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="00DA1220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="00DA1220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="00DA1220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997178" w:rsidRPr="005F1527" w:rsidRDefault="00C91D6E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 xml:space="preserve"> </w:t>
            </w:r>
          </w:p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муниципального жилищного контроля</w:t>
            </w:r>
          </w:p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6F003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6F003E">
              <w:rPr>
                <w:sz w:val="26"/>
                <w:szCs w:val="26"/>
              </w:rPr>
              <w:t>4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F8130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81308" w:rsidRPr="005F1527" w:rsidRDefault="00F81308" w:rsidP="00F8130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 xml:space="preserve"> </w:t>
            </w:r>
          </w:p>
          <w:p w:rsidR="00F81308" w:rsidRPr="005F1527" w:rsidRDefault="00F81308" w:rsidP="00F8130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муниципального жилищного контроля</w:t>
            </w:r>
          </w:p>
          <w:p w:rsidR="00F81308" w:rsidRPr="005F1527" w:rsidRDefault="00F81308" w:rsidP="00F8130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C54A94">
        <w:rPr>
          <w:sz w:val="26"/>
          <w:szCs w:val="26"/>
        </w:rPr>
        <w:t>ельства в сфере муниципального жилищного контроля</w:t>
      </w:r>
      <w:r w:rsidR="00DA0EC0">
        <w:rPr>
          <w:sz w:val="26"/>
          <w:szCs w:val="26"/>
        </w:rPr>
        <w:t>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 xml:space="preserve">тделом муниципального </w:t>
      </w:r>
      <w:r w:rsidR="00F81308">
        <w:rPr>
          <w:sz w:val="26"/>
          <w:szCs w:val="26"/>
        </w:rPr>
        <w:t xml:space="preserve">жилищного </w:t>
      </w:r>
      <w:r w:rsidR="00DD7B9E" w:rsidRPr="005F1527">
        <w:rPr>
          <w:sz w:val="26"/>
          <w:szCs w:val="26"/>
        </w:rPr>
        <w:t>контроля</w:t>
      </w:r>
      <w:r w:rsidR="00961EBA" w:rsidRPr="005F1527">
        <w:rPr>
          <w:sz w:val="26"/>
          <w:szCs w:val="26"/>
        </w:rPr>
        <w:t>.</w:t>
      </w:r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6F00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6F003E">
              <w:rPr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8A580E" w:rsidRDefault="00A52F3A" w:rsidP="006F00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6F003E">
              <w:rPr>
                <w:sz w:val="26"/>
                <w:szCs w:val="26"/>
              </w:rPr>
              <w:t>5</w:t>
            </w:r>
          </w:p>
        </w:tc>
        <w:tc>
          <w:tcPr>
            <w:tcW w:w="961" w:type="dxa"/>
          </w:tcPr>
          <w:p w:rsidR="008A580E" w:rsidRDefault="00A52F3A" w:rsidP="006F00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6F003E">
              <w:rPr>
                <w:sz w:val="26"/>
                <w:szCs w:val="26"/>
              </w:rPr>
              <w:t>6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>арушений по муниципальному жилищному контролю</w:t>
            </w:r>
            <w:r>
              <w:rPr>
                <w:sz w:val="26"/>
                <w:szCs w:val="26"/>
              </w:rPr>
              <w:t xml:space="preserve">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917476">
              <w:rPr>
                <w:sz w:val="26"/>
                <w:szCs w:val="26"/>
              </w:rPr>
              <w:t xml:space="preserve"> муниципального жилищного контроля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F84A42" w:rsidRDefault="00F84A42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F84A42" w:rsidRDefault="00F84A42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F84A42" w:rsidRDefault="00F84A42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98"/>
        <w:gridCol w:w="1869"/>
        <w:gridCol w:w="1869"/>
        <w:gridCol w:w="1869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1745" w:rsidRDefault="00501745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bookmarkStart w:id="0" w:name="_GoBack"/>
      <w:bookmarkEnd w:id="0"/>
    </w:p>
    <w:sectPr w:rsidR="00501745" w:rsidSect="00322F6B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D5" w:rsidRDefault="00345AD5" w:rsidP="00F84A42">
      <w:r>
        <w:separator/>
      </w:r>
    </w:p>
  </w:endnote>
  <w:endnote w:type="continuationSeparator" w:id="0">
    <w:p w:rsidR="00345AD5" w:rsidRDefault="00345AD5" w:rsidP="00F8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45" w:rsidRDefault="00501745">
    <w:pPr>
      <w:pStyle w:val="ab"/>
    </w:pPr>
  </w:p>
  <w:p w:rsidR="00501745" w:rsidRDefault="00501745">
    <w:pPr>
      <w:pStyle w:val="ab"/>
    </w:pPr>
  </w:p>
  <w:p w:rsidR="00501745" w:rsidRDefault="00501745">
    <w:pPr>
      <w:pStyle w:val="ab"/>
    </w:pPr>
  </w:p>
  <w:p w:rsidR="00501745" w:rsidRDefault="005017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D5" w:rsidRDefault="00345AD5" w:rsidP="00F84A42">
      <w:r>
        <w:separator/>
      </w:r>
    </w:p>
  </w:footnote>
  <w:footnote w:type="continuationSeparator" w:id="0">
    <w:p w:rsidR="00345AD5" w:rsidRDefault="00345AD5" w:rsidP="00F8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BE06E2"/>
    <w:multiLevelType w:val="hybridMultilevel"/>
    <w:tmpl w:val="3F6C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47"/>
    <w:rsid w:val="000056DD"/>
    <w:rsid w:val="00010B75"/>
    <w:rsid w:val="00053245"/>
    <w:rsid w:val="00060137"/>
    <w:rsid w:val="000A01FF"/>
    <w:rsid w:val="000B0A21"/>
    <w:rsid w:val="000C546C"/>
    <w:rsid w:val="000E5F60"/>
    <w:rsid w:val="000F4242"/>
    <w:rsid w:val="0011374B"/>
    <w:rsid w:val="001167CF"/>
    <w:rsid w:val="00133CCD"/>
    <w:rsid w:val="0019604B"/>
    <w:rsid w:val="001A7815"/>
    <w:rsid w:val="001B1352"/>
    <w:rsid w:val="001B6816"/>
    <w:rsid w:val="001C1243"/>
    <w:rsid w:val="001D373E"/>
    <w:rsid w:val="001E3D6F"/>
    <w:rsid w:val="00206347"/>
    <w:rsid w:val="00210343"/>
    <w:rsid w:val="002337E4"/>
    <w:rsid w:val="00241249"/>
    <w:rsid w:val="00242B98"/>
    <w:rsid w:val="00260B6F"/>
    <w:rsid w:val="00271049"/>
    <w:rsid w:val="00292480"/>
    <w:rsid w:val="002C5F0B"/>
    <w:rsid w:val="002D13C4"/>
    <w:rsid w:val="002F62DB"/>
    <w:rsid w:val="00322F6B"/>
    <w:rsid w:val="00345AD5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A6112"/>
    <w:rsid w:val="004B76FE"/>
    <w:rsid w:val="004C417A"/>
    <w:rsid w:val="004D1072"/>
    <w:rsid w:val="004F471B"/>
    <w:rsid w:val="004F65AD"/>
    <w:rsid w:val="00501745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D70B1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B6D51"/>
    <w:rsid w:val="006E7511"/>
    <w:rsid w:val="006F003E"/>
    <w:rsid w:val="006F3335"/>
    <w:rsid w:val="006F6AB0"/>
    <w:rsid w:val="007039B0"/>
    <w:rsid w:val="00705824"/>
    <w:rsid w:val="007100A8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57851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D0DD9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E7EB1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E2905"/>
    <w:rsid w:val="00AF1A74"/>
    <w:rsid w:val="00B014C8"/>
    <w:rsid w:val="00B021A8"/>
    <w:rsid w:val="00B21F0D"/>
    <w:rsid w:val="00B3017C"/>
    <w:rsid w:val="00B37B95"/>
    <w:rsid w:val="00B43746"/>
    <w:rsid w:val="00B64A2C"/>
    <w:rsid w:val="00B665FF"/>
    <w:rsid w:val="00B815C8"/>
    <w:rsid w:val="00B93722"/>
    <w:rsid w:val="00BA6992"/>
    <w:rsid w:val="00BA6B45"/>
    <w:rsid w:val="00BB3C4D"/>
    <w:rsid w:val="00BC3FF3"/>
    <w:rsid w:val="00BD41E4"/>
    <w:rsid w:val="00BD6428"/>
    <w:rsid w:val="00BF4919"/>
    <w:rsid w:val="00C25C2E"/>
    <w:rsid w:val="00C3131D"/>
    <w:rsid w:val="00C331CA"/>
    <w:rsid w:val="00C54A94"/>
    <w:rsid w:val="00C6552C"/>
    <w:rsid w:val="00C66635"/>
    <w:rsid w:val="00C77224"/>
    <w:rsid w:val="00C91D6E"/>
    <w:rsid w:val="00CA21FF"/>
    <w:rsid w:val="00CA46BF"/>
    <w:rsid w:val="00CB3B27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50029"/>
    <w:rsid w:val="00D53D4C"/>
    <w:rsid w:val="00D81811"/>
    <w:rsid w:val="00D91C47"/>
    <w:rsid w:val="00DA0EC0"/>
    <w:rsid w:val="00DA1220"/>
    <w:rsid w:val="00DA16F3"/>
    <w:rsid w:val="00DA33D3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A668D"/>
    <w:rsid w:val="00ED496D"/>
    <w:rsid w:val="00EE4E76"/>
    <w:rsid w:val="00F21EAA"/>
    <w:rsid w:val="00F45C18"/>
    <w:rsid w:val="00F53438"/>
    <w:rsid w:val="00F81308"/>
    <w:rsid w:val="00F83677"/>
    <w:rsid w:val="00F84A42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FC328-6C16-4B3F-942E-6B724903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semiHidden/>
    <w:unhideWhenUsed/>
    <w:rsid w:val="00F84A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4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4A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4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84A42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F84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84A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D2B66-4448-485E-B21F-D87E0D83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Син Дмитрий Сангунович</cp:lastModifiedBy>
  <cp:revision>4</cp:revision>
  <cp:lastPrinted>2023-10-03T03:09:00Z</cp:lastPrinted>
  <dcterms:created xsi:type="dcterms:W3CDTF">2022-10-03T05:27:00Z</dcterms:created>
  <dcterms:modified xsi:type="dcterms:W3CDTF">2023-10-03T03:32:00Z</dcterms:modified>
</cp:coreProperties>
</file>