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655F" w14:textId="6A715548" w:rsidR="007567A0" w:rsidRPr="00910F12" w:rsidRDefault="00910F12" w:rsidP="00226CC6">
      <w:pPr>
        <w:jc w:val="center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910F12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ПРОЕКТ</w:t>
      </w:r>
    </w:p>
    <w:p w14:paraId="764BD410" w14:textId="77777777" w:rsidR="007567A0" w:rsidRPr="007567A0" w:rsidRDefault="007567A0" w:rsidP="007567A0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7567A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4A268A2E" w14:textId="77777777" w:rsidR="007567A0" w:rsidRDefault="007567A0" w:rsidP="007567A0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7567A0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архитектуры </w:t>
      </w:r>
    </w:p>
    <w:p w14:paraId="031EE1F5" w14:textId="77777777" w:rsidR="007567A0" w:rsidRDefault="007567A0" w:rsidP="007567A0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 администрации</w:t>
      </w:r>
    </w:p>
    <w:p w14:paraId="561373D4" w14:textId="438FEA5E" w:rsidR="007567A0" w:rsidRPr="007567A0" w:rsidRDefault="007567A0" w:rsidP="007567A0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</w:t>
      </w:r>
      <w:r w:rsidRPr="00756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74C06" w14:textId="77777777" w:rsidR="007567A0" w:rsidRPr="007567A0" w:rsidRDefault="007567A0" w:rsidP="007567A0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7567A0">
        <w:rPr>
          <w:rFonts w:ascii="Times New Roman" w:hAnsi="Times New Roman" w:cs="Times New Roman"/>
          <w:sz w:val="24"/>
          <w:szCs w:val="24"/>
        </w:rPr>
        <w:t>от «___» ____ 2022 № _______</w:t>
      </w:r>
    </w:p>
    <w:p w14:paraId="63956B8C" w14:textId="77777777" w:rsidR="007567A0" w:rsidRDefault="007567A0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6DF0097" w14:textId="5F33DC40" w:rsidR="00226CC6" w:rsidRPr="00517BFA" w:rsidRDefault="00D5118F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Доклад о правоприменительной</w:t>
      </w:r>
      <w:r w:rsidR="00226CC6"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практик</w:t>
      </w: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226CC6"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54266D35" w14:textId="69915837" w:rsidR="00727ADA" w:rsidRPr="00517BFA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осуществления </w:t>
      </w:r>
      <w:r w:rsidR="00727ADA"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земельного</w:t>
      </w: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контроля </w:t>
      </w:r>
      <w:r w:rsidR="00D5118F"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границах</w:t>
      </w: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Елизовского городского поселения за </w:t>
      </w:r>
      <w:r w:rsidR="00D5118F"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2021</w:t>
      </w: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</w:p>
    <w:p w14:paraId="6138679D" w14:textId="77777777" w:rsidR="00226CC6" w:rsidRPr="00517BFA" w:rsidRDefault="00226CC6" w:rsidP="00226C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BEBD850" w14:textId="440B6EBF" w:rsidR="00226CC6" w:rsidRPr="00517BFA" w:rsidRDefault="00226CC6" w:rsidP="00226CC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Опубликовывается в соответствии с требованиями ст. </w:t>
      </w:r>
      <w:r w:rsidR="00D5118F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47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Федерального закона «</w:t>
      </w:r>
      <w:r w:rsidR="00D5118F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» от </w:t>
      </w:r>
      <w:r w:rsidR="00D5118F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31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07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2020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№ </w:t>
      </w:r>
      <w:r w:rsidR="00D5118F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248</w:t>
      </w:r>
      <w:r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-ФЗ</w:t>
      </w:r>
      <w:r w:rsidR="00D56A1C" w:rsidRPr="00517BF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14:paraId="31D64C94" w14:textId="77777777" w:rsidR="00D56A1C" w:rsidRPr="00517BFA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44A99A" w14:textId="77777777" w:rsidR="00D56A1C" w:rsidRPr="00517BFA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со ст. 14 Федерального закона «Об общих принципах организации местного самоуправления в Российской </w:t>
      </w:r>
      <w:proofErr w:type="gramStart"/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Федерации»   </w:t>
      </w:r>
      <w:proofErr w:type="gramEnd"/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от 06.10.2003 № 131-ФЗ, осуществление муниципального земельного контроля относится к вопросам местного значения городских поселений.</w:t>
      </w:r>
    </w:p>
    <w:p w14:paraId="362B38A3" w14:textId="55A03F1B" w:rsidR="00D56A1C" w:rsidRPr="00517BFA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В соответствии с законом Камчатского края «О порядке осуществления муниципального земельного контроля в Камчатском крае» от 07.12.2016 </w:t>
      </w:r>
      <w:r w:rsidR="003A15D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39, «Положением о муниципальном земельном контроле на территории Елизовского городского поселения», принятым Решением Собрания депутатов Елизовского городского поселения от 27.04.2017 № 152</w:t>
      </w:r>
      <w:r w:rsidR="00D5118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                                 а после 25 ноября 2021 года «Положением о муниципальном земельном контроле в границах Елизовского городского поселения», принятого Решением Собрания депутатов Елизовского городского поселения</w:t>
      </w:r>
      <w:r w:rsidR="003A15D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118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от 25.11.2021 № 57 </w:t>
      </w:r>
      <w:r w:rsidR="003A15D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муниципальный земельный контроль </w:t>
      </w:r>
      <w:r w:rsidR="00966E1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</w:t>
      </w:r>
      <w:r w:rsidR="003A15D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отделом по использованию и охране земель </w:t>
      </w:r>
      <w:r w:rsidR="00BD4DC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</w:t>
      </w:r>
      <w:r w:rsidR="003A15D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роительства администрации Елизовского городского поселения.</w:t>
      </w:r>
    </w:p>
    <w:p w14:paraId="3B710B61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направлено на достижение следующих целей:</w:t>
      </w:r>
    </w:p>
    <w:p w14:paraId="7ACE57E2" w14:textId="2532C901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обеспечение доступности сведений о правоприменительной практике по вопросам муниципального земельного контроля в границах Елизовского городского поселения путем их публикации для сведения контролируемых лиц;</w:t>
      </w:r>
    </w:p>
    <w:p w14:paraId="590E7C86" w14:textId="7CC62E1B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- совершенствование нормативных правовых актов для устранения устаревших, дублирующих и избыточных обязательных </w:t>
      </w:r>
      <w:proofErr w:type="gramStart"/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требований,   </w:t>
      </w:r>
      <w:proofErr w:type="gramEnd"/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       и контрольн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>ых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функций;</w:t>
      </w:r>
    </w:p>
    <w:p w14:paraId="1BCC1199" w14:textId="70FCAB50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повышение результативности и эффективности контрольно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>й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деятельности;</w:t>
      </w:r>
    </w:p>
    <w:p w14:paraId="7ECBEA27" w14:textId="584F69BA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- 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14:paraId="6FE2D69F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проводится для решения следующих задач:</w:t>
      </w:r>
    </w:p>
    <w:p w14:paraId="6C5086B9" w14:textId="0B7F6B3A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 xml:space="preserve">- обеспечение единообразных подходов к применению 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отделом по использованию и охране земель Управления архитектуры и градостроительства администрации Елизовского городского поселения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и ее должностными лицами обязательных требований, законодательства о государственном контроле (надзоре)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>, муниципальном контроле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14:paraId="684D55E0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79E45726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47F058C5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об актуализации обязательных требований;</w:t>
      </w:r>
    </w:p>
    <w:p w14:paraId="6A8A6318" w14:textId="5BB86AF3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 внесении изменений в законодательство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Российской Федерации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о государственном контроле (надзоре)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>, муниципальном контроле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14:paraId="5A086E47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В качестве источников формирования доклада </w:t>
      </w:r>
      <w:r w:rsidRPr="00517BF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</w:t>
      </w:r>
      <w:r w:rsidRPr="00517BF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правоприменительной практике 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использованы:</w:t>
      </w:r>
    </w:p>
    <w:p w14:paraId="107B7C7A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результаты проверок и иных мероприятий по контролю, в том числе осуществляемых без взаимодействия с контролируемыми лицами;</w:t>
      </w:r>
    </w:p>
    <w:p w14:paraId="6C631043" w14:textId="6E8B8306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- результаты обжалования действий (бездействия) и решений должностных лиц 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</w:t>
      </w:r>
      <w:r w:rsidR="007250A2" w:rsidRPr="00517BFA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в административном или судебном порядке и иные материалы административной практики;</w:t>
      </w:r>
    </w:p>
    <w:p w14:paraId="2F73C02B" w14:textId="77777777" w:rsidR="009F754F" w:rsidRPr="00517BF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результаты применения мер прокурорского реагирования;</w:t>
      </w:r>
    </w:p>
    <w:p w14:paraId="06A005C5" w14:textId="77777777" w:rsidR="009F754F" w:rsidRPr="00517BFA" w:rsidRDefault="009F754F" w:rsidP="009F754F">
      <w:pPr>
        <w:tabs>
          <w:tab w:val="left" w:pos="1260"/>
        </w:tabs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</w:rPr>
        <w:t>- результаты рассмотрения заявлений и обращений граждан.</w:t>
      </w:r>
    </w:p>
    <w:p w14:paraId="7FA1DC20" w14:textId="77777777" w:rsidR="009F754F" w:rsidRPr="00517BFA" w:rsidRDefault="009F754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2EF4264" w14:textId="1FD2D39E" w:rsidR="003E57B0" w:rsidRPr="00517BFA" w:rsidRDefault="00F9060C" w:rsidP="00F906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соблюдени</w:t>
      </w:r>
      <w:r w:rsidR="00111E8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юридическими лицами</w:t>
      </w:r>
      <w:r w:rsidR="00111E8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индивидуальными предпринимателями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1E8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– контролируемые лица) обязательных требований земельного законодательства </w:t>
      </w:r>
      <w:r w:rsidR="003E57B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81CA7DD" w14:textId="2E60BBED" w:rsidR="003E57B0" w:rsidRPr="00517BFA" w:rsidRDefault="00F9060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Объектами </w:t>
      </w:r>
      <w:r w:rsidR="003E57B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земельных отношений являются земли, земельные участки или части земельных участков в границах Елизовского городского поселения.</w:t>
      </w:r>
    </w:p>
    <w:p w14:paraId="66548AC2" w14:textId="77777777" w:rsidR="00583D68" w:rsidRPr="00517BFA" w:rsidRDefault="00A070A3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Муниципальный зем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ельный контроль осуществляется двумя должностными лицами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использованию и охране земель Управления архитектуры и градостроительства администрации Елизовского городского поселения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</w:t>
      </w:r>
      <w:r w:rsidR="00583D68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полномочий:</w:t>
      </w:r>
    </w:p>
    <w:p w14:paraId="545C2804" w14:textId="77777777" w:rsidR="00583D68" w:rsidRPr="00517BFA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начальником отдела;</w:t>
      </w:r>
    </w:p>
    <w:p w14:paraId="6E77FEBD" w14:textId="290DDA91" w:rsidR="00727ADA" w:rsidRPr="00517BFA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</w:t>
      </w:r>
      <w:r w:rsidR="003E57B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советником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отдела.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C7477F9" w14:textId="3068AE7A" w:rsidR="007C0EBD" w:rsidRPr="00517BFA" w:rsidRDefault="00B725D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 целях осуществления муниципального земельного контроля отдел                 по использованию и охране земель Управления архитектуры и градостроительства администрации Елизовского городского поселения проводит</w:t>
      </w:r>
      <w:r w:rsidR="003E57B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мероприятия</w:t>
      </w:r>
      <w:r w:rsidR="007C0EB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6B2B40BB" w14:textId="77777777" w:rsidR="007C0EBD" w:rsidRPr="00517BFA" w:rsidRDefault="007C0EBD" w:rsidP="007C0EBD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Плановые и внеплановые проверки в отношении юридических лиц, индивидуальных предпринимателей </w:t>
      </w:r>
      <w:r w:rsidR="00AB4C8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граждан, в форме документарных и выездных</w:t>
      </w:r>
      <w:r w:rsidR="009C300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проверок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755F2564" w14:textId="6837716C" w:rsidR="007C0EBD" w:rsidRPr="00517BFA" w:rsidRDefault="007C0EBD" w:rsidP="007C0EBD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Мероприятия, направленные на профилактику нарушений юридическими лицами, индивидуальными предпринимателями</w:t>
      </w:r>
      <w:r w:rsidR="003E57B0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</w:t>
      </w:r>
      <w:r w:rsidR="00D92B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95A72F4" w14:textId="77777777" w:rsidR="00230BE7" w:rsidRPr="00517BFA" w:rsidRDefault="00230BE7" w:rsidP="00230BE7">
      <w:pPr>
        <w:pStyle w:val="a3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F8BD54" w14:textId="4D6E8F96" w:rsidR="00727ADA" w:rsidRPr="00517BFA" w:rsidRDefault="002655A7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тделом </w:t>
      </w:r>
      <w:r w:rsidR="00BF376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использованию и охране земель Управления архитектуры и градостроительства администрации Елизовского городского поселения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="00BF376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</w:t>
      </w:r>
      <w:r w:rsidR="003E1B3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BF376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проведена следующая работа:  </w:t>
      </w:r>
    </w:p>
    <w:p w14:paraId="0A840C52" w14:textId="534A6500" w:rsidR="002655A7" w:rsidRPr="00517BFA" w:rsidRDefault="00BF376A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тствии с ежегодно утвержденным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планом 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проверок юридических лиц и индивидуальных предпринимателей 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год, руководствуясь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26.12.2008 № 294-ФЗ, 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 4 Федерального закона «О развитии малого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среднего предпринимательства в Российской Федерации» от 24.07.2007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209-ФЗ был исключен из плана проведения плановых проверок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882C2E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</w:t>
      </w:r>
      <w:r w:rsidR="00882C2E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655A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 (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Индивидуальный предприниматель);</w:t>
      </w:r>
    </w:p>
    <w:p w14:paraId="05AF2A24" w14:textId="35AA3663" w:rsidR="00D76D3B" w:rsidRPr="00517BFA" w:rsidRDefault="00D76D3B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 соответствии с ежегодно утвержденным планом проведения плановых проверок юридических лиц и индивидуальных предпринимателей на 2021 год,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проведены плановые проверки в отношении 3 (трех) субъектов. В отношении 1 (одного) субъекта - юридического лица выявлены нарушения обязательных требований;</w:t>
      </w:r>
    </w:p>
    <w:p w14:paraId="5DF5323B" w14:textId="71EE62F4" w:rsidR="00BB791A" w:rsidRPr="00517BFA" w:rsidRDefault="00BB791A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 соответствии с планами проведения плановых рейдовых осмотров                     до 01 июля 2021 года проведены 5 (пять) осмотров, обследований в отношении юридических лиц и индивидуальных предпринимателей. По результатам выявлено 2 (два) нарушения, направлены 2 (два) предостережения                                       о недопустимости нарушения обязательных требований;</w:t>
      </w:r>
    </w:p>
    <w:p w14:paraId="3640D3F4" w14:textId="25D76068" w:rsidR="00D76D3B" w:rsidRPr="00517BFA" w:rsidRDefault="008F0E8E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 соответствии с планом проведения проверок соблюдения гражданами в отношении объектов земельных отношений требований земельного законодательства на 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за указанный период проведен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63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2C2E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шестьдесят три</w:t>
      </w:r>
      <w:r w:rsidR="00882C2E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документарных, выездных проверок в отношении граждан. </w:t>
      </w:r>
      <w:r w:rsidR="00D76D3B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Выявлено 54 нарушения (85,7 %), не выявлено нарушений – 9 (14,3 %);</w:t>
      </w:r>
    </w:p>
    <w:p w14:paraId="33CA282B" w14:textId="7A454570" w:rsidR="00D76D3B" w:rsidRPr="00517BFA" w:rsidRDefault="00D76D3B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F742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 отношении граждан проведены 47 (сорок семь) внеплановых проверок. Выявлено 42 (сорок два) нарушения – 89,3 %, 5 (пять) проверок без нарушений – 10,7 %.</w:t>
      </w:r>
    </w:p>
    <w:p w14:paraId="3BEE3CC9" w14:textId="55395E30" w:rsidR="00616285" w:rsidRPr="00517BFA" w:rsidRDefault="00CE4045" w:rsidP="005769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</w:p>
    <w:p w14:paraId="3D9EC888" w14:textId="1EE81AB6" w:rsidR="00616285" w:rsidRPr="00517BFA" w:rsidRDefault="00616285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493CB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всем вышеперечисленным проверкам, материалы, содержащие достаточные данные, указывающие на наличие административного правонарушения, в соответствии с п. 2 ч. 1 и на основании ч. 2 ст. 28.1 КРФ об АП</w:t>
      </w:r>
      <w:r w:rsidR="00783E1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93CB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5 ст. 72 Земельного кодекса РФ, </w:t>
      </w:r>
      <w:r w:rsidR="00783E1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направлены установленным порядком в Управление Федеральной службы государственной регистрации, кадастра и картографии по Камчатскому краю в отдел государственного земельного надзора</w:t>
      </w:r>
      <w:r w:rsidR="00A6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Мировой суд г. Елизово </w:t>
      </w:r>
      <w:r w:rsidR="00783E1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принятия мер административного воздействия</w:t>
      </w:r>
      <w:r w:rsidR="00A6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возбуждения дел об административных правонарушениях.</w:t>
      </w:r>
    </w:p>
    <w:p w14:paraId="0F7FD743" w14:textId="77777777" w:rsidR="002655A7" w:rsidRPr="00517BFA" w:rsidRDefault="002655A7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71CE40" w14:textId="77777777" w:rsidR="00727ADA" w:rsidRPr="00517BFA" w:rsidRDefault="00072DF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Наиболее часто встречающимися нарушениями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 земельного законодательства являются: </w:t>
      </w:r>
    </w:p>
    <w:p w14:paraId="47024DD5" w14:textId="77777777" w:rsidR="00727ADA" w:rsidRPr="00517BFA" w:rsidRDefault="00072DFC" w:rsidP="00072D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самовольное занятие земельного участка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использование земельного участка лицом, не имеющим предусмотренных законодательством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Российской Федерации прав на указанный земельный участок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(статья 7.1 КоАП РФ); </w:t>
      </w:r>
    </w:p>
    <w:p w14:paraId="3E70C363" w14:textId="52B9F3B9" w:rsidR="00727ADA" w:rsidRPr="00517BFA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2DFC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использование земельного участка не по целевому назначению </w:t>
      </w:r>
      <w:r w:rsidR="00072DFC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его принадлежностью к той или иной категории земель </w:t>
      </w:r>
      <w:r w:rsidR="00072DFC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(или) разрешенным использованием (часть 1 статьи 8.8 КоАП РФ). </w:t>
      </w:r>
    </w:p>
    <w:p w14:paraId="07049319" w14:textId="77777777" w:rsidR="00727ADA" w:rsidRPr="00517BFA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58BC94C" w14:textId="77777777" w:rsidR="00727ADA" w:rsidRPr="00517BFA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Разъяснения</w:t>
      </w:r>
    </w:p>
    <w:p w14:paraId="6EB650AF" w14:textId="77777777" w:rsidR="00727ADA" w:rsidRPr="00517BFA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действующего земельного законодательства</w:t>
      </w:r>
    </w:p>
    <w:p w14:paraId="63422EE0" w14:textId="77777777" w:rsidR="00727ADA" w:rsidRPr="00517BFA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целью недопущения нарушений</w:t>
      </w:r>
    </w:p>
    <w:p w14:paraId="7D0D3764" w14:textId="77777777" w:rsidR="00727ADA" w:rsidRPr="00517BFA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F12E65E" w14:textId="50050D7D" w:rsidR="00727ADA" w:rsidRPr="00517BFA" w:rsidRDefault="007B31FE" w:rsidP="00D570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Статьей 7.1 КоАП РФ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 административная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ответственность за </w:t>
      </w:r>
      <w:r w:rsidR="00D570D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самовольное занятие земельного участка или части земельного </w:t>
      </w:r>
      <w:proofErr w:type="gramStart"/>
      <w:r w:rsidR="00D570D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</w:t>
      </w:r>
      <w:r w:rsidR="005E5AF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5E5AF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D570D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 использование земельного участка лицом,</w:t>
      </w:r>
      <w:r w:rsidR="005E5AF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70DF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имеющим предусмотренных законодательством Российской Федерации прав на указанный земельный участок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131CABD9" w14:textId="0F5B73F7" w:rsidR="00727ADA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Земельный участок как объект права собственности и иных предусмотренных законодате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льством прав на землю является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вещи. К таким характеристикам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относятся границы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участка, координаты поворотных точек земельного участка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площадь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Владелец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обязан использовать его в границах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территории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 учетом координат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поворотных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точек. Нарушение в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самовольного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земельного участка может быть допущено в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результате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или проведения иных раб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(благоустройство территории,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ограждение территории), также земельный участок может быть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приобретен                 с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имеющимися постройками, которые находятся за границами участка. </w:t>
      </w:r>
    </w:p>
    <w:p w14:paraId="4DF95582" w14:textId="77777777" w:rsidR="00D570DF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Права на земельные участки удостоверяются документами в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порядке,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установленном</w:t>
      </w:r>
      <w:proofErr w:type="gramEnd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Федеральным законом «О государственной регистрации недвижимости»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218-ФЗ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71524679" w14:textId="77777777" w:rsidR="00D570DF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отсутствия документов на земельный участок или часть земельного участка, используемого участником земельных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отношений,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</w:t>
      </w:r>
      <w:proofErr w:type="gramEnd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утверждать о наличии признаков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указанной территории без прав,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также является правонарушением, предусмотренным ст. 7.1 КоАП РФ.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14:paraId="7C667F86" w14:textId="77777777" w:rsidR="00D570DF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Обращаем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внимание, </w:t>
      </w:r>
      <w:r w:rsidR="009C3007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ответственность по ст. 7.1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КоАП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РФ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наступает</w:t>
      </w:r>
      <w:proofErr w:type="gramEnd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за активные действия, направленные на занятие земельного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так и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использования уже занятой территории без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предусмотренных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 прав. </w:t>
      </w:r>
    </w:p>
    <w:p w14:paraId="0337235B" w14:textId="77777777" w:rsidR="00727ADA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Что необходимо сделать, чтобы не допустить данное нарушение: </w:t>
      </w:r>
    </w:p>
    <w:p w14:paraId="75540E48" w14:textId="77777777" w:rsidR="00727ADA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имеются ли у Вас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документы, подтверждающие право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владения или пользования земельным участком; </w:t>
      </w:r>
    </w:p>
    <w:p w14:paraId="34B4D127" w14:textId="77777777" w:rsidR="00727ADA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зарегистрированы ли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него в установленном порядке права;</w:t>
      </w:r>
    </w:p>
    <w:p w14:paraId="17C88C6D" w14:textId="7478E037" w:rsidR="00450861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земельный участок следует использовать в границах, учтенных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 Едином</w:t>
      </w:r>
      <w:proofErr w:type="gramEnd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государственном реестре недвижимости.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можно проверить на публичной кадастровой карте на официальном портале Росреестра РФ - </w:t>
      </w:r>
      <w:hyperlink r:id="rId5" w:history="1">
        <w:r w:rsidR="000630AD" w:rsidRPr="00517BF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https://pkk.rosreestr.ru/</w:t>
        </w:r>
      </w:hyperlink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03C0017A" w14:textId="182165B7" w:rsidR="00727ADA" w:rsidRPr="00517BF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 несоответствие в части использования земельного участка 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 пределами установленных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границ, 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которых содержатся            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Едином государственном реестре недвижимости, возможно 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изучения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(анализа, верификации)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на руках землеустроительных дел и межевых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планов. Другим способом подтверждения соответствия фактических границ докум</w:t>
      </w:r>
      <w:r w:rsidR="0000644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ентально закрепленным является вынос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 земельного участка путем проведения 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 кадастровых работ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50861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8054A8E" w14:textId="77777777" w:rsidR="00727ADA" w:rsidRPr="00517BFA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убедитесь в том, что используемая и огороженная площадь участка соответствует площади, указанной в ваших документах на землю; </w:t>
      </w:r>
    </w:p>
    <w:p w14:paraId="7E0A345A" w14:textId="1BBFF212" w:rsidR="00727ADA" w:rsidRPr="00517BFA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постройки, ограж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дения, ограничивающие доступ 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территорию</w:t>
      </w:r>
      <w:proofErr w:type="gramEnd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находятся в границах земельного участка; </w:t>
      </w:r>
    </w:p>
    <w:p w14:paraId="688749D1" w14:textId="77777777" w:rsidR="00727ADA" w:rsidRPr="00517BFA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используемое имущество (</w:t>
      </w:r>
      <w:r w:rsidR="00D8016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материальные ценности: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дрова, стройматериалы</w:t>
      </w:r>
      <w:r w:rsidR="00D8016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размещены Вами в границах вашего земельного участка, а не на свободной территории, относящейся к землям </w:t>
      </w:r>
      <w:r w:rsidR="00D80165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общего пользования</w:t>
      </w:r>
      <w:r w:rsidR="00A70E88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(улицы, дороги и т.п.),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не на участке соседей. </w:t>
      </w:r>
    </w:p>
    <w:p w14:paraId="2927D123" w14:textId="77777777" w:rsidR="00727ADA" w:rsidRPr="00517BFA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Вышеперечисленные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действия позволят избежать спорных ситуаций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правообладателями смежн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земельных участков, а также Вами не буду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нарушены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законодательства Российской Федерации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778EE901" w14:textId="77777777" w:rsidR="009A64EB" w:rsidRPr="00517BFA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8DBB88" w14:textId="77777777" w:rsidR="00697C3F" w:rsidRPr="00517BFA" w:rsidRDefault="00697C3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Частью 1 ст. 8.8 КоАП РФ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14:paraId="1860271A" w14:textId="77777777" w:rsidR="00727ADA" w:rsidRPr="00517BFA" w:rsidRDefault="00697C3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</w:t>
      </w:r>
      <w:r w:rsidR="00856C9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их целевым назначением способами, которые не должны наносить вред окружающей среде, в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856C9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требованиями законодательства о градостроительной деятельности.</w:t>
      </w:r>
    </w:p>
    <w:p w14:paraId="3BC8C9FE" w14:textId="77777777" w:rsidR="00727ADA" w:rsidRPr="00517BFA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56C9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14:paraId="20F9DBEF" w14:textId="77777777" w:rsidR="00856C92" w:rsidRPr="00517BFA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56C9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пунктам 2 и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 использования земельных участков (жилого, общественно  –  делового, производственного, рекреационного и иных видов использования земельных участков). Для земельных участков, расположенных в границах одной территориальной зоны, устанавливается единый градостроительный регламент. </w:t>
      </w:r>
      <w:r w:rsidR="00856C92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2C771E51" w14:textId="77777777" w:rsidR="00B30122" w:rsidRPr="00517BFA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участков и используется в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процессе застройки и последующей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эксплуатации зданий, строений,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сооружений. </w:t>
      </w:r>
    </w:p>
    <w:p w14:paraId="70D2CFA2" w14:textId="77777777" w:rsidR="00B30122" w:rsidRPr="00517BFA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Градостроительные регламенты обязательны для исполнения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всеми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собственниками</w:t>
      </w:r>
      <w:proofErr w:type="gramEnd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земельных участков, землепользователями,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землевладельцами и арендаторами земельных участков независимо от форм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собственности и иных прав на земельные участки.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62745B42" w14:textId="100BB288" w:rsidR="00B30122" w:rsidRPr="00517BFA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</w:t>
      </w:r>
      <w:proofErr w:type="gramStart"/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недвижимость)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арендная плата. </w:t>
      </w:r>
    </w:p>
    <w:p w14:paraId="24DDD1EA" w14:textId="6C6FAB7B" w:rsidR="00641A46" w:rsidRPr="00517BFA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14:paraId="6CCAB6CD" w14:textId="77777777" w:rsidR="00641A46" w:rsidRPr="00517BFA" w:rsidRDefault="00641A4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уплате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налоговых платежей, а также налоговая база, поскольку кадастровая стоимость земельного участка, согласно налоговому законодательству и является налоговой базой для исчисления земельного налога.  </w:t>
      </w:r>
    </w:p>
    <w:p w14:paraId="37D3CA8A" w14:textId="77777777" w:rsidR="00675CAA" w:rsidRPr="00517BFA" w:rsidRDefault="00675CA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Фактически нецелевое использование земель – это скрытые потери местного бюджета в виде не доначислений пл</w:t>
      </w:r>
      <w:r w:rsidR="00866F3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тежей за землю, поскольку ставки земельного налога и арендной платы зависят от вида разрешенного использования каждого</w:t>
      </w:r>
      <w:r w:rsidR="00866F3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взятого земельного участка.</w:t>
      </w:r>
    </w:p>
    <w:p w14:paraId="530DD18B" w14:textId="311660FE" w:rsidR="00866F39" w:rsidRPr="00517BFA" w:rsidRDefault="00641A4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66F3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Например, субъект предпринимательства на части своего земельного участка, с оформленными правами на нее (право собственности или </w:t>
      </w:r>
      <w:proofErr w:type="gramStart"/>
      <w:r w:rsidR="00866F3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аренды) 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866F3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видом разрешенного использования под склад (или под производственную базу) осуществляет торговлю товарами, продуктами, и т.п.</w:t>
      </w:r>
      <w:r w:rsidR="006A2589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случае речь идет как раз о нарушении данным субъектом предпринимательства земельного законодательства в виде использования не по целевому назначению земельного участка, так как земельное законодательство предписывает использовать в соответствии с видом разрешенного использования земельный участок целиком.</w:t>
      </w:r>
    </w:p>
    <w:p w14:paraId="542CB14A" w14:textId="77777777" w:rsidR="00727ADA" w:rsidRPr="00517BFA" w:rsidRDefault="00CC650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Указанный вид нарушения встречается и в частном жилом секторе, когда граждане на землях предоставленных для ИЖС или ЛПХ, открывают магазины, СТО, шиномонтажные мастерские, автомойки, при этом,                          не изменяя целевого назначения земель,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является административным правонарушением, ответственность за которое предусмотрена ч. 1 ст. 8.8 КоАП РФ. </w:t>
      </w:r>
    </w:p>
    <w:p w14:paraId="519A3E05" w14:textId="77777777" w:rsidR="00727ADA" w:rsidRPr="00517BFA" w:rsidRDefault="00727ADA" w:rsidP="00641A4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14:paraId="254A335D" w14:textId="77777777" w:rsidR="00727ADA" w:rsidRPr="00517BFA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используйте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участок в соот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целевым назначением;</w:t>
      </w:r>
    </w:p>
    <w:p w14:paraId="2AA13FB1" w14:textId="77777777" w:rsidR="00727ADA" w:rsidRPr="00517BFA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сведения о целевом назначении земельного участка содержатся в Едином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государственном реестре недвижимости (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ЕГРН) и в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правоустанавливающих документах н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земельный участок. Информацию можно получить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запроса выписки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ЕГРН, а также посмотрев свои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правоустанавливающие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на земельный участок;</w:t>
      </w:r>
    </w:p>
    <w:p w14:paraId="07153907" w14:textId="77777777" w:rsidR="00BE0F1B" w:rsidRPr="00517BFA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любой вид разрешенного использования из предусмотренных зонированием территорий ви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 выбирается правообладателем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самостоятельно, без дополнительных разр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ешений и процедур согласования.</w:t>
      </w:r>
    </w:p>
    <w:p w14:paraId="54397F35" w14:textId="4293AAF1" w:rsidR="00BE0F1B" w:rsidRPr="00517BFA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тем, для использования зе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мельного участка с иным целевым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назначением необходимо внести изменения в ЕГРН. Тол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ько после внесения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указанных изменений можно гово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рить о законности использования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с иным целевым назначением. </w:t>
      </w:r>
    </w:p>
    <w:p w14:paraId="3CD200E7" w14:textId="77777777" w:rsidR="00472D2D" w:rsidRPr="00517BFA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 действ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позволят избежать нарушения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весьма значительных штрафных санкций.  </w:t>
      </w:r>
      <w:r w:rsidR="00472D2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14:paraId="5F795FEE" w14:textId="77777777" w:rsidR="00D317CA" w:rsidRPr="00517BFA" w:rsidRDefault="00472D2D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 Российской Федерации.</w:t>
      </w:r>
    </w:p>
    <w:p w14:paraId="4E620846" w14:textId="77777777" w:rsidR="00F50C76" w:rsidRPr="00517BFA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E49126" w14:textId="3A0B8BA2" w:rsidR="00517BFA" w:rsidRPr="00517BFA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Отдел по использованию и охране земель Управления архитектуры и градостроительства администрации Елизовского городского поселения проводит консультации в сфере муниципального земельного контроля                    по вопросам соблюдения требований земельного законодательства Российской Федерации по телефону: 8 (41531) 6-40-77 и по адресу: Камчатский край, г. Елизово, ул. В.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Кручины, д. 20, кабинет 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112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рабочее время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="000630AD" w:rsidRPr="00517BF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arch</w:t>
        </w:r>
        <w:r w:rsidR="000630AD" w:rsidRPr="00517BF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@</w:t>
        </w:r>
        <w:proofErr w:type="spellStart"/>
        <w:r w:rsidR="000630AD" w:rsidRPr="00517BF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admelizovo</w:t>
        </w:r>
        <w:proofErr w:type="spellEnd"/>
        <w:r w:rsidR="000630AD" w:rsidRPr="00517BF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0630AD" w:rsidRPr="00517BF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E7B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3509B45" w14:textId="77777777" w:rsidR="00517BFA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C91A43" w14:textId="77777777" w:rsidR="00517BFA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99C52A" w14:textId="562DDEC8" w:rsidR="00517BFA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Подготовил: </w:t>
      </w:r>
    </w:p>
    <w:p w14:paraId="1A9BC558" w14:textId="52C87E15" w:rsidR="00517BFA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</w:t>
      </w:r>
    </w:p>
    <w:p w14:paraId="2D32115A" w14:textId="77777777" w:rsidR="00517BFA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использованию и охране земель</w:t>
      </w:r>
    </w:p>
    <w:p w14:paraId="1622A847" w14:textId="77777777" w:rsidR="00517BFA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градостроительства</w:t>
      </w:r>
    </w:p>
    <w:p w14:paraId="21E444F7" w14:textId="340F875B" w:rsidR="00F50C76" w:rsidRPr="00517BF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  <w:r w:rsidR="000630AD"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7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Р.Н. Поздняков</w:t>
      </w:r>
    </w:p>
    <w:sectPr w:rsidR="00F50C76" w:rsidRPr="00517BFA" w:rsidSect="00F50C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4B60"/>
    <w:multiLevelType w:val="hybridMultilevel"/>
    <w:tmpl w:val="A5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DA"/>
    <w:rsid w:val="00006441"/>
    <w:rsid w:val="000630AD"/>
    <w:rsid w:val="00072DFC"/>
    <w:rsid w:val="00111E8A"/>
    <w:rsid w:val="00170396"/>
    <w:rsid w:val="00226CC6"/>
    <w:rsid w:val="00230BE7"/>
    <w:rsid w:val="002655A7"/>
    <w:rsid w:val="003446AD"/>
    <w:rsid w:val="00374554"/>
    <w:rsid w:val="003A15D5"/>
    <w:rsid w:val="003E1B3D"/>
    <w:rsid w:val="003E57B0"/>
    <w:rsid w:val="00450861"/>
    <w:rsid w:val="00472D2D"/>
    <w:rsid w:val="004859C7"/>
    <w:rsid w:val="00493CBF"/>
    <w:rsid w:val="00517BFA"/>
    <w:rsid w:val="0057699C"/>
    <w:rsid w:val="00583D68"/>
    <w:rsid w:val="005E2ECE"/>
    <w:rsid w:val="005E5AF7"/>
    <w:rsid w:val="00616285"/>
    <w:rsid w:val="00641A46"/>
    <w:rsid w:val="00675CAA"/>
    <w:rsid w:val="00697C3F"/>
    <w:rsid w:val="006A2589"/>
    <w:rsid w:val="007250A2"/>
    <w:rsid w:val="00727ADA"/>
    <w:rsid w:val="007567A0"/>
    <w:rsid w:val="00783E19"/>
    <w:rsid w:val="007B2D4A"/>
    <w:rsid w:val="007B31FE"/>
    <w:rsid w:val="007C0EBD"/>
    <w:rsid w:val="007E7BEE"/>
    <w:rsid w:val="007F7421"/>
    <w:rsid w:val="00856C92"/>
    <w:rsid w:val="00865AFD"/>
    <w:rsid w:val="00866F39"/>
    <w:rsid w:val="00882C2E"/>
    <w:rsid w:val="008F0E8E"/>
    <w:rsid w:val="009067ED"/>
    <w:rsid w:val="00910F12"/>
    <w:rsid w:val="00966E1F"/>
    <w:rsid w:val="009A64EB"/>
    <w:rsid w:val="009C3007"/>
    <w:rsid w:val="009E4CEC"/>
    <w:rsid w:val="009F754F"/>
    <w:rsid w:val="00A070A3"/>
    <w:rsid w:val="00A62115"/>
    <w:rsid w:val="00A70E88"/>
    <w:rsid w:val="00AB4C80"/>
    <w:rsid w:val="00B30122"/>
    <w:rsid w:val="00B725DF"/>
    <w:rsid w:val="00BB791A"/>
    <w:rsid w:val="00BD4DC0"/>
    <w:rsid w:val="00BE0F1B"/>
    <w:rsid w:val="00BF376A"/>
    <w:rsid w:val="00C3163D"/>
    <w:rsid w:val="00CC6507"/>
    <w:rsid w:val="00CE4045"/>
    <w:rsid w:val="00D177F0"/>
    <w:rsid w:val="00D317CA"/>
    <w:rsid w:val="00D5118F"/>
    <w:rsid w:val="00D56A1C"/>
    <w:rsid w:val="00D570DF"/>
    <w:rsid w:val="00D76D3B"/>
    <w:rsid w:val="00D80165"/>
    <w:rsid w:val="00D92B42"/>
    <w:rsid w:val="00E60F88"/>
    <w:rsid w:val="00E97745"/>
    <w:rsid w:val="00F304B0"/>
    <w:rsid w:val="00F50C76"/>
    <w:rsid w:val="00F70C04"/>
    <w:rsid w:val="00F9060C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9ABE"/>
  <w15:docId w15:val="{84D4A6EA-5E14-4FA6-8E34-1935936D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dmelizovo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Николаевич</cp:lastModifiedBy>
  <cp:revision>20</cp:revision>
  <cp:lastPrinted>2022-02-01T00:18:00Z</cp:lastPrinted>
  <dcterms:created xsi:type="dcterms:W3CDTF">2022-01-31T22:54:00Z</dcterms:created>
  <dcterms:modified xsi:type="dcterms:W3CDTF">2022-02-01T02:17:00Z</dcterms:modified>
</cp:coreProperties>
</file>