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7A0" w:rsidRPr="000128DA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Утвержден </w:t>
      </w:r>
    </w:p>
    <w:p w:rsidR="007567A0" w:rsidRPr="000128DA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приказом Управления архитектуры </w:t>
      </w:r>
    </w:p>
    <w:p w:rsidR="007567A0" w:rsidRPr="000128DA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и градостроительства администрации</w:t>
      </w:r>
    </w:p>
    <w:p w:rsidR="007567A0" w:rsidRPr="000128DA" w:rsidRDefault="007567A0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Елизовского городского поселения</w:t>
      </w:r>
    </w:p>
    <w:p w:rsidR="007567A0" w:rsidRPr="000128DA" w:rsidRDefault="00993FF1" w:rsidP="007567A0">
      <w:pPr>
        <w:ind w:firstLine="510"/>
        <w:jc w:val="right"/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от «17</w:t>
      </w:r>
      <w:r w:rsidR="007567A0"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» </w:t>
      </w:r>
      <w:r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февраля</w:t>
      </w:r>
      <w:r w:rsidR="007567A0"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 xml:space="preserve"> 2022 № </w:t>
      </w:r>
      <w:r w:rsidRPr="000128DA">
        <w:rPr>
          <w:rFonts w:ascii="Times New Roman" w:hAnsi="Times New Roman" w:cs="Times New Roman"/>
          <w:color w:val="0D0D0D" w:themeColor="text1" w:themeTint="F2"/>
          <w:sz w:val="20"/>
          <w:szCs w:val="20"/>
        </w:rPr>
        <w:t>18-од</w:t>
      </w:r>
    </w:p>
    <w:p w:rsidR="007567A0" w:rsidRPr="000128DA" w:rsidRDefault="007567A0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:rsidR="00226CC6" w:rsidRPr="000128DA" w:rsidRDefault="00D5118F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Доклад о правоприменительной</w:t>
      </w:r>
      <w:r w:rsidR="00226CC6"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практик</w:t>
      </w: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е</w:t>
      </w:r>
    </w:p>
    <w:p w:rsidR="00727ADA" w:rsidRPr="000128DA" w:rsidRDefault="00226CC6" w:rsidP="00226CC6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осуществления </w:t>
      </w:r>
      <w:r w:rsidR="00727ADA"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муниципального земельногоконтроля </w:t>
      </w:r>
      <w:r w:rsidR="00D5118F"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в границах</w:t>
      </w: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Елизовского городского поселения за </w:t>
      </w:r>
      <w:r w:rsidR="00D5118F"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2021</w:t>
      </w: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год</w:t>
      </w:r>
    </w:p>
    <w:p w:rsidR="00226CC6" w:rsidRPr="000128DA" w:rsidRDefault="00226CC6" w:rsidP="00226CC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226CC6" w:rsidRPr="000128DA" w:rsidRDefault="00134316" w:rsidP="00226CC6">
      <w:pPr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</w:t>
      </w:r>
      <w:r w:rsidR="00226CC6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Опубликовывается в соответствии с требованиями ст. </w:t>
      </w:r>
      <w:r w:rsidR="00D5118F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47</w:t>
      </w:r>
      <w:r w:rsidR="00226CC6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 Федерального закона «</w:t>
      </w:r>
      <w:r w:rsidR="00D5118F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О государственном контроле (надзоре) </w:t>
      </w:r>
      <w:r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                                    </w:t>
      </w:r>
      <w:r w:rsidR="00D5118F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и муниципальном контроле в Российской Федерации</w:t>
      </w:r>
      <w:r w:rsidR="00226CC6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» от </w:t>
      </w:r>
      <w:r w:rsidR="00D5118F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31</w:t>
      </w:r>
      <w:r w:rsidR="00226CC6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07</w:t>
      </w:r>
      <w:r w:rsidR="00226CC6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  <w:r w:rsidR="00D5118F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2020</w:t>
      </w:r>
      <w:r w:rsidR="00226CC6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 xml:space="preserve"> № </w:t>
      </w:r>
      <w:r w:rsidR="00D5118F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248</w:t>
      </w:r>
      <w:r w:rsidR="00226CC6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-ФЗ</w:t>
      </w:r>
      <w:r w:rsidR="00D56A1C" w:rsidRPr="000128DA">
        <w:rPr>
          <w:rFonts w:ascii="Times New Roman" w:hAnsi="Times New Roman" w:cs="Times New Roman"/>
          <w:i/>
          <w:color w:val="0D0D0D" w:themeColor="text1" w:themeTint="F2"/>
          <w:sz w:val="28"/>
          <w:szCs w:val="28"/>
        </w:rPr>
        <w:t>.</w:t>
      </w:r>
    </w:p>
    <w:p w:rsidR="00D56A1C" w:rsidRPr="000128DA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D56A1C" w:rsidRPr="000128DA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В соответствии со ст. 14 Федерального закона «Об общих принципах организации местного самоуправления в Российской Федерации»                           от 06.10.2003 № 131-ФЗ, осуществление муниципального земельного контроля относится к вопросам местного значения городских поселений.</w:t>
      </w:r>
    </w:p>
    <w:p w:rsidR="00D56A1C" w:rsidRPr="000128DA" w:rsidRDefault="00D56A1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законом Камчатского края «О порядке осуществления муниципального земельного контроля в Камчатском крае» от 07.12.2016 </w:t>
      </w:r>
      <w:r w:rsidR="00134316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№ 39, «Положением о муниципальном земельном контроле на территории Елизовского городского поселения», принятым Решением Собрания депутатов Елизовского городского поселения от 27.04.2017 № 152</w:t>
      </w:r>
      <w:r w:rsidR="00D5118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                                  а после 25 ноября 2021 года «Положением о муниципальном земельном контроле в границах Елизовского городского поселения», принятого Решением Собрания депутатов Елизовского городского</w:t>
      </w:r>
      <w:proofErr w:type="gramEnd"/>
      <w:r w:rsidR="00D5118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поселения                               от 25.11.2021 № 57 </w:t>
      </w:r>
      <w:r w:rsidR="003A15D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муниципальный земельный контроль </w:t>
      </w:r>
      <w:r w:rsidR="00966E1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территории Елизовского городского поселения </w:t>
      </w:r>
      <w:r w:rsidR="003A15D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осуществляется отделом по использованию и охране земель </w:t>
      </w:r>
      <w:r w:rsidR="00BD4DC0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Управления архитектуры и градост</w:t>
      </w:r>
      <w:r w:rsidR="003A15D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роительства администрации Елизовского городского поселения.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направлено на достижение следующих целей: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обеспечение доступности сведений о правоприменительной практике по вопросам муниципального земельного контроля в границах Елизовского городского поселения путем их публикации для сведения контролируемых лиц;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совершенствование нормативных правовых актов для устранения устаревших, дублирующих и избыточных обязательных требований,                                   и контрольн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</w:rPr>
        <w:t>ых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 xml:space="preserve"> функций;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повышение результативности и эффективности контрольно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</w:rPr>
        <w:t>й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 xml:space="preserve"> деятельности;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 xml:space="preserve">- выработка путей по минимизации причинения вреда охраняемым законом ценностям при оптимальном использовании материальных, финансовых и кадровых ресурсов 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отдела по использованию и охране земель Управления архитектуры и градостроительства администрации Елизовского городского поселения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Обобщение правоприменительной практики проводится для решения следующих задач: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lastRenderedPageBreak/>
        <w:t xml:space="preserve">- обеспечение единообразных подходов к применению 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отделом по использованию и охране земель Управления архитектуры и градостроительства администрации Елизовского городского поселения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и ее должностными лицами обязательных требований, законодательства о государственном контроле (надзоре)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</w:rPr>
        <w:t>, муниципальном контроле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об актуализации обязательных требований;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подготовка предложений о внесении изменений в законодательство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</w:rPr>
        <w:t xml:space="preserve"> Российской Федерации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 xml:space="preserve"> о государственном контроле (надзоре)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</w:rPr>
        <w:t>, муниципальном контроле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.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 xml:space="preserve">В качестве источников формирования доклада </w:t>
      </w:r>
      <w:r w:rsidRPr="000128DA">
        <w:rPr>
          <w:rFonts w:ascii="Times New Roman" w:hAnsi="Times New Roman" w:cs="Times New Roman"/>
          <w:bCs/>
          <w:color w:val="0D0D0D" w:themeColor="text1" w:themeTint="F2"/>
          <w:sz w:val="28"/>
          <w:szCs w:val="28"/>
        </w:rPr>
        <w:t xml:space="preserve">о </w:t>
      </w:r>
      <w:r w:rsidRPr="000128DA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правоприменительной практике 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использованы: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результаты проверок и иных мероприятий по контролю, в том числе осуществляемых без взаимодействия с контролируемыми лицами;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 xml:space="preserve">- результаты обжалования действий (бездействия) и решений должностных лиц </w:t>
      </w:r>
      <w:r w:rsidR="007250A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отдела по использованию и охране земель Управления архитектуры и градостроительства администрации Елизовского городского поселения</w:t>
      </w: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в административном или судебном порядке и иные материалы административной практики;</w:t>
      </w:r>
    </w:p>
    <w:p w:rsidR="009F754F" w:rsidRPr="000128DA" w:rsidRDefault="009F754F" w:rsidP="009F754F">
      <w:pPr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результаты применения мер прокурорского реагирования;</w:t>
      </w:r>
    </w:p>
    <w:p w:rsidR="009F754F" w:rsidRPr="000128DA" w:rsidRDefault="009F754F" w:rsidP="009F754F">
      <w:pPr>
        <w:tabs>
          <w:tab w:val="left" w:pos="1260"/>
        </w:tabs>
        <w:ind w:firstLine="567"/>
        <w:rPr>
          <w:rFonts w:ascii="Times New Roman" w:hAnsi="Times New Roman" w:cs="Times New Roman"/>
          <w:color w:val="0D0D0D" w:themeColor="text1" w:themeTint="F2"/>
          <w:sz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</w:rPr>
        <w:t>- результаты рассмотрения заявлений и обращений граждан.</w:t>
      </w:r>
    </w:p>
    <w:p w:rsidR="009F754F" w:rsidRPr="000128DA" w:rsidRDefault="009F754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E57B0" w:rsidRPr="000128DA" w:rsidRDefault="00134316" w:rsidP="00F9060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Предметом муниципального земельного контроля является </w:t>
      </w:r>
      <w:r w:rsidR="00F9060C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соблюдени</w:t>
      </w:r>
      <w:r w:rsidR="00111E8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юридическими лицами</w:t>
      </w:r>
      <w:r w:rsidR="00111E8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индивидуальными предпринимателями</w:t>
      </w:r>
      <w:r w:rsidR="00F9060C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</w:t>
      </w:r>
      <w:proofErr w:type="gramStart"/>
      <w:r w:rsidR="00F9060C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</w:t>
      </w:r>
      <w:r w:rsidR="00111E8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proofErr w:type="gramEnd"/>
      <w:r w:rsidR="00111E8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далее – контролируемые лица) обязательных требований земельного законодательства </w:t>
      </w:r>
      <w:r w:rsidR="003E57B0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3E57B0" w:rsidRPr="000128DA" w:rsidRDefault="00134316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Объектами </w:t>
      </w:r>
      <w:r w:rsidR="003E57B0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земельных отношений являются земли, земельные участки или части земельных участков в границах Елизовского городского поселения.</w:t>
      </w:r>
    </w:p>
    <w:p w:rsidR="00583D68" w:rsidRPr="000128DA" w:rsidRDefault="00134316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Муниципальный зем</w:t>
      </w:r>
      <w:r w:rsidR="00A070A3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ельный контроль осуществляется двумя должностными лицами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 </w:t>
      </w:r>
      <w:r w:rsidR="00A070A3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 использованию и охране земель Управления архитектуры и градостроительства администрации Елизовского городского поселения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рамках </w:t>
      </w:r>
      <w:r w:rsidR="00583D68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должностных полномочий:</w:t>
      </w:r>
    </w:p>
    <w:p w:rsidR="00583D68" w:rsidRPr="000128DA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начальником отдела;</w:t>
      </w:r>
    </w:p>
    <w:p w:rsidR="00727ADA" w:rsidRPr="000128DA" w:rsidRDefault="00583D68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- </w:t>
      </w:r>
      <w:r w:rsidR="003E57B0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советником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отдела.</w:t>
      </w:r>
    </w:p>
    <w:p w:rsidR="007C0EBD" w:rsidRPr="000128DA" w:rsidRDefault="00B725DF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 целях осуществления муниципального земельного контроля Управлени</w:t>
      </w:r>
      <w:r w:rsidR="005438E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архитектуры проводит</w:t>
      </w:r>
      <w:r w:rsidR="003E57B0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следующие мероприятия</w:t>
      </w:r>
      <w:r w:rsidR="007C0EB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:</w:t>
      </w:r>
    </w:p>
    <w:p w:rsidR="007C0EBD" w:rsidRPr="000128DA" w:rsidRDefault="007C0EBD" w:rsidP="005438E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Плановые и внеплановые проверки в отношении юридических лиц, индивидуальных предпринимателей </w:t>
      </w:r>
      <w:r w:rsidR="00AB4C80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граждан, в форме документарных и выездных</w:t>
      </w:r>
      <w:r w:rsidR="009C3007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проверок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7C0EBD" w:rsidRPr="000128DA" w:rsidRDefault="007C0EBD" w:rsidP="005438EF">
      <w:pPr>
        <w:pStyle w:val="a3"/>
        <w:numPr>
          <w:ilvl w:val="0"/>
          <w:numId w:val="1"/>
        </w:numPr>
        <w:ind w:left="0"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Мероприятия, направленные на профилактику нарушений юридическими лицами, индивидуальными предпринимателями</w:t>
      </w:r>
      <w:r w:rsidR="003E57B0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гражданами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</w:t>
      </w:r>
      <w:r w:rsidR="00D92B4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230BE7" w:rsidRPr="000128DA" w:rsidRDefault="00230BE7" w:rsidP="00230BE7">
      <w:pPr>
        <w:pStyle w:val="a3"/>
        <w:ind w:left="35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0128DA" w:rsidRDefault="00BF376A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Управлени</w:t>
      </w:r>
      <w:r w:rsidR="005438E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ем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архитектуры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период </w:t>
      </w:r>
      <w:r w:rsidR="003E1B3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проведена следующая работа:  </w:t>
      </w:r>
    </w:p>
    <w:p w:rsidR="002655A7" w:rsidRPr="000128DA" w:rsidRDefault="00727ADA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2655A7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руководствуясь Федеральным законом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proofErr w:type="gramStart"/>
      <w:r w:rsidR="002655A7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»о</w:t>
      </w:r>
      <w:proofErr w:type="gramEnd"/>
      <w:r w:rsidR="002655A7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 26.12.2008 № 294-ФЗ,ст. 4 Федерального закона «О развитии малогои среднего предпринимательства в Российской Федерации» от 24.07.2007№ 209-ФЗ был исключен из плана проведения плановых проверок</w:t>
      </w:r>
      <w:r w:rsidR="00D76D3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1</w:t>
      </w:r>
      <w:r w:rsidR="00882C2E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</w:t>
      </w:r>
      <w:r w:rsidR="00D76D3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один</w:t>
      </w:r>
      <w:r w:rsidR="00882C2E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2655A7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субъект (</w:t>
      </w:r>
      <w:r w:rsidR="00D76D3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Индивидуальный предприниматель);</w:t>
      </w:r>
    </w:p>
    <w:p w:rsidR="00D76D3B" w:rsidRPr="000128DA" w:rsidRDefault="00D76D3B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 соответствии с утвержденным планом проведения плановых проверок юридических лиц и индивидуальных предпринимателей на 2021 год, проведены плановые проверки в отношении 3 (трех) субъектов. В отношении 1 (одного) субъекта - юридического лица выявлены нарушения обязательных требований;</w:t>
      </w:r>
    </w:p>
    <w:p w:rsidR="00BB791A" w:rsidRPr="000128DA" w:rsidRDefault="00BB791A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в соответствии с планами проведения плановых рейдовых осмотров                     до 01 июля 2021 года проведены 5 (пять) осмотров, обследований в отношении юридических лиц и индивидуальных предпринимателей. По результатам выявлено 2 (</w:t>
      </w:r>
      <w:proofErr w:type="gramStart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два) </w:t>
      </w:r>
      <w:proofErr w:type="gramEnd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нарушения, направлены 2 (два) предостережения                                       о недопустимости нарушения обязательных требований;</w:t>
      </w:r>
    </w:p>
    <w:p w:rsidR="00D76D3B" w:rsidRPr="000128DA" w:rsidRDefault="008F0E8E" w:rsidP="00D76D3B">
      <w:pPr>
        <w:ind w:firstLine="567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 соответствии с планом проведения проверок соблюдения гражданами в отношении объектов земельных отношений требований земельного законодательства на </w:t>
      </w:r>
      <w:r w:rsidR="00D76D3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2021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 за указанный период проведен</w:t>
      </w:r>
      <w:r w:rsidR="00D76D3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о63</w:t>
      </w:r>
      <w:r w:rsidR="00882C2E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D76D3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шестьдесят три</w:t>
      </w:r>
      <w:r w:rsidR="00882C2E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плановых документарных, выездных проверок в отношении граждан. </w:t>
      </w:r>
      <w:r w:rsidR="00D76D3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Выявлено 54 нарушения (85,7 %), не выявлено нарушений – 9 (14,3 %);</w:t>
      </w:r>
    </w:p>
    <w:p w:rsidR="00134316" w:rsidRPr="000128DA" w:rsidRDefault="007F7421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- в отношении граждан проведены 47 (сорок семь) внеплановых проверок. </w:t>
      </w:r>
      <w:r w:rsidR="00134316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</w:t>
      </w:r>
    </w:p>
    <w:p w:rsidR="00D76D3B" w:rsidRPr="000128DA" w:rsidRDefault="00134316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F742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Выявлено 42 (сорок два) нарушения – 89,3 %, 5 (пять) проверок без нарушений – 10,7 %.</w:t>
      </w:r>
    </w:p>
    <w:p w:rsidR="00616285" w:rsidRPr="000128DA" w:rsidRDefault="00616285" w:rsidP="0057699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16285" w:rsidRPr="000128DA" w:rsidRDefault="00493CBF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134316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По всем вышеперечисленным проверкам, материалы, содержащие достаточные данные, указывающие на наличие административного правонарушения, в соответствии с п. 2 ч. 1 и на основании ч. 2 ст. 28.1 КРФ об АП</w:t>
      </w:r>
      <w:r w:rsidR="00783E19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5 ст. 72 Земельного кодекса РФ, </w:t>
      </w:r>
      <w:r w:rsidR="00783E19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направлены установленным порядком в Управление Федеральной службы государственной регистрации, кадастра и картографии по Камчатскому краю в отдел государственного земельного надзора</w:t>
      </w:r>
      <w:r w:rsidR="00A6211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в Мировой суд</w:t>
      </w:r>
      <w:proofErr w:type="gramEnd"/>
      <w:r w:rsidR="00A6211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г. Елизово </w:t>
      </w:r>
      <w:r w:rsidR="00783E19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для принятия мер административного воздействия</w:t>
      </w:r>
      <w:r w:rsidR="00A6211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возбуждения дел об административных правонарушениях.</w:t>
      </w:r>
    </w:p>
    <w:p w:rsidR="002655A7" w:rsidRPr="000128DA" w:rsidRDefault="002655A7" w:rsidP="008F0E8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0128DA" w:rsidRDefault="00072DFC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Наиболее часто встречающимися нарушениями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обязательных требований земельного законодательства являются: </w:t>
      </w:r>
    </w:p>
    <w:p w:rsidR="00727ADA" w:rsidRPr="000128DA" w:rsidRDefault="00727ADA" w:rsidP="00072DFC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самовольное занятие земельного участка</w:t>
      </w:r>
      <w:r w:rsidR="00072DFC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в том числе использование земельного участка лицом, не имеющим предусмотренных </w:t>
      </w:r>
      <w:r w:rsidR="00072DFC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законодательством Российской Федерации прав на указанный земельный участок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(статья 7.1 КоАП РФ); </w:t>
      </w:r>
    </w:p>
    <w:p w:rsidR="00727ADA" w:rsidRPr="000128DA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 (часть 1 статьи 8.8 КоАП РФ). </w:t>
      </w:r>
    </w:p>
    <w:p w:rsidR="00727ADA" w:rsidRPr="000128DA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0128DA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Разъяснения</w:t>
      </w:r>
    </w:p>
    <w:p w:rsidR="00727ADA" w:rsidRPr="000128DA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действующего земельного законодательства</w:t>
      </w:r>
    </w:p>
    <w:p w:rsidR="00727ADA" w:rsidRPr="000128DA" w:rsidRDefault="00727ADA" w:rsidP="00072DFC">
      <w:pPr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 целью недопущения нарушений</w:t>
      </w:r>
    </w:p>
    <w:p w:rsidR="00727ADA" w:rsidRPr="000128DA" w:rsidRDefault="00727ADA" w:rsidP="00226CC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727ADA" w:rsidRPr="000128DA" w:rsidRDefault="00134316" w:rsidP="00D570D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Статьей 7.1 </w:t>
      </w:r>
      <w:proofErr w:type="spellStart"/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КоАП</w:t>
      </w:r>
      <w:proofErr w:type="spellEnd"/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 xml:space="preserve"> РФ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предусмотрена административная </w:t>
      </w:r>
      <w:r w:rsidR="007B31FE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ответственность за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самовольное занятие земельного участка или части земельного участка, в том числе использование земельного участка лицом</w:t>
      </w:r>
      <w:proofErr w:type="gramStart"/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,н</w:t>
      </w:r>
      <w:proofErr w:type="gramEnd"/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 имеющим предусмотренных законодательством Российской Федерации прав на указанный земельный участок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Земельный участок как объект права собственности и иных предусмотренных законодате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льством прав на землю является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недвижимой вещью, которая представляет собой часть земной поверхности и имеет характеристики, позволяющие определить ее в качестве индивидуально определенной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вещи. К таким характеристикам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относятся границы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участка, координаты поворотных точек земельного участка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площадь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т.п.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Владелец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обязан использовать его в границах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своей территории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 с учетом координат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поворотных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точек. Нарушение в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виде самовольного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занятия земельного участка может быть допущено в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результате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строительства или проведения иных раб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от (благоустройство территории,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ограждение территории), также земельный участок может быть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приобретен                 с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уже имеющимися постройками, которые находятся за границами участка. </w:t>
      </w:r>
    </w:p>
    <w:p w:rsidR="00D570DF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Права на земельные участки удостоверяются документами в порядке, установленном Федеральным законом «О государственной регистрации недвижимости»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 13.07.2015 № 218-ФЗ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D570DF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случае отсутствия документов на земельный участок или часть земельного участка, используемого участником земельных отношений, можно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утверждать о наличии признаков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использования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указанной территории без прав,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также является правонарушением, предусмотренным ст. 7.1 КоАП РФ. </w:t>
      </w:r>
    </w:p>
    <w:p w:rsidR="00D570DF" w:rsidRPr="000128DA" w:rsidRDefault="00D570DF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Обращаем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внимание, </w:t>
      </w:r>
      <w:r w:rsidR="009C3007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ответственность по ст. 7.1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КоАП РФ наступает как за активные действия, направленные на занятие земельного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участка, так и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результате использования уже занятой территории без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предусмотренных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законодательством  прав. </w:t>
      </w:r>
    </w:p>
    <w:p w:rsidR="00727ADA" w:rsidRPr="000128DA" w:rsidRDefault="00727ADA" w:rsidP="0013431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имеются ли у Вас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документы, подтверждающие право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владения или пользования земельным участком; </w:t>
      </w:r>
    </w:p>
    <w:p w:rsidR="00727ADA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проверьте, зарегистрированы ли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него в установленном порядке права;</w:t>
      </w:r>
    </w:p>
    <w:p w:rsidR="00450861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земельный участок следует использовать в границах, учтенных в  Едином государственном реестре недвижимости. </w:t>
      </w:r>
      <w:r w:rsidR="00D570D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Данную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информацию можно проверить на публичной кадастровой карте на официальном портале Росреестра РФ - </w:t>
      </w:r>
      <w:hyperlink r:id="rId5" w:history="1">
        <w:r w:rsidR="000630AD" w:rsidRPr="000128D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https://pkk.rosreestr.ru/</w:t>
        </w:r>
      </w:hyperlink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727ADA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</w:t>
      </w:r>
      <w:proofErr w:type="gramStart"/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Выявить несоответствие в части использования земельного участка 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за пределами установленных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границ, 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сведения о которых содержатся               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Едином государственном реестре недвижимости, возможно 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путе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 изучения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(анализа, верификации)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находящихс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я на руках землеустроительных дел и межевых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планов.</w:t>
      </w:r>
      <w:proofErr w:type="gramEnd"/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Другим способом подтверждения соответствия фактических границ докум</w:t>
      </w:r>
      <w:r w:rsidR="0000644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ентально закрепленным является вынос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границ земельного участка путем проведения 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соответствующих кадастровых работ</w:t>
      </w:r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</w:p>
    <w:p w:rsidR="00727ADA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 убедитесь в том, что используемая и огороженная площадь участка соответствует площади, указанной в ваших документах на землю; </w:t>
      </w:r>
    </w:p>
    <w:p w:rsidR="00727ADA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постройки, ограж</w:t>
      </w:r>
      <w:r w:rsidR="00450861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дения, ограничивающие доступ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 территорию, находятся в границах земельного участка; </w:t>
      </w:r>
    </w:p>
    <w:p w:rsidR="00727ADA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 проверьте, что используемое имущество (</w:t>
      </w:r>
      <w:r w:rsidR="00D8016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материальные ценности: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дрова, стройматериалы</w:t>
      </w:r>
      <w:r w:rsidR="00D8016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пр.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) размещены Вами в границах вашего земельного участка, а не на свободной территории, относящейся к землям </w:t>
      </w:r>
      <w:r w:rsidR="00D80165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общего пользования</w:t>
      </w:r>
      <w:r w:rsidR="00A70E88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(улицы, дороги и т.п.),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а также не на участке соседей. </w:t>
      </w:r>
    </w:p>
    <w:p w:rsidR="00727ADA" w:rsidRPr="000128DA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Вышеперечисленные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действия позволят избежать спорных ситуаций с правообладателями смежн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ых земельных участков, а также Вами не буду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т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нарушенытребования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земел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ьного законодательства Российской Федерации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</w:t>
      </w:r>
    </w:p>
    <w:p w:rsidR="009A64EB" w:rsidRPr="000128DA" w:rsidRDefault="009A64EB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697C3F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Частью 1 ст. 8.8 КоАП РФ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предусмотрена административная ответственность за использование земельного участка не по целевому назначению в соответствии с его принадлежностью к той или иной категории земель и (или) разрешенным использованием. </w:t>
      </w:r>
    </w:p>
    <w:p w:rsidR="00727ADA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 соответствии со ст. 42 Земельного кодекса Российской Федерации собственники земельных участков и лица, не являющиеся собственниками земельных участков, обязаны использовать земельные участки в соответствии с их целевым назначением способами, которые не должны наносить вред окружающей среде, в</w:t>
      </w:r>
      <w:r w:rsidR="00697C3F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том числе земле как природному объекту;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законодательства о градостроительной деятельности.</w:t>
      </w:r>
    </w:p>
    <w:p w:rsidR="00727ADA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r w:rsidR="00856C9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 соответствии с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п. 1 ст. 36 Градостроительного кодекса РФ 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 </w:t>
      </w:r>
    </w:p>
    <w:p w:rsidR="00856C92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</w:t>
      </w:r>
      <w:proofErr w:type="gramStart"/>
      <w:r w:rsidR="00856C9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Согласно пунктам 2 и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 статьи 85 Земельного кодекса Российской Федерации, правилами землепользования и застройки устанавливается градостроительный регламент для каждой территориальной зоны индивидуально, с учетом особенностей ее расположения и развития, а также возможности территориального сочетания различных видов  использования земельных участков (жилого, общественно  –  делового, производственного, рекреационного и иных видов использования земельных участков).</w:t>
      </w:r>
      <w:proofErr w:type="gramEnd"/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Для земельных участков, расположенных в границах одной территориальной зоны, устанавливается единый градостроительный регламент. </w:t>
      </w:r>
    </w:p>
    <w:p w:rsidR="00B30122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Градостроительный регламент территориальной зоны определяет основу правового режима земельных участков, равно как всего, что находится над и под поверхностью земе</w:t>
      </w:r>
      <w:r w:rsidR="00B3012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льных участков и используется в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процессе застройки и последующей</w:t>
      </w:r>
      <w:r w:rsidR="00B3012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эксплуатации зданий, строений,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сооружений. </w:t>
      </w:r>
    </w:p>
    <w:p w:rsidR="00B30122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Градостроительные регламенты обязательны для исполнения всеми собственниками земельных участков, землепользователями, землевладельцами и арендаторами земельных участков независимо от форм собственности и иных прав на земельные участки. </w:t>
      </w:r>
    </w:p>
    <w:p w:rsidR="00B30122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Кроме того, необходимо знать, что в соответствии с п. 1 ст. 65 Земельного кодекса </w:t>
      </w:r>
      <w:r w:rsidR="00B30122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РФ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использование земли в Российской Федерации является платным. Формами платы за использование земли являются земельный налог (до введения в действие налога на недвижимость) и арендная плата. </w:t>
      </w:r>
    </w:p>
    <w:p w:rsidR="00641A46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Пунктом 5 статьи 65 Земельного кодекса Российской Федерации установлено, что для целей налогообложения и в иных случаях, предусмотренных настоящим Кодексом, федеральными законами, устанавливается кадастровая стоимость земельного участка. </w:t>
      </w:r>
    </w:p>
    <w:p w:rsidR="00641A46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proofErr w:type="gramStart"/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Вместе с тем, изменение функционального назначения зданий, расположенных на земельном участке, в силу принципа единства судьбы земельных участков и прочно связанных с ними объектов влечет изменение функционального назначения земельного участка и, как следствие, вида разрешенного использования земельного участка в зависимости от которого изменяется процентная ставка по </w:t>
      </w:r>
      <w:r w:rsidR="00641A46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уплате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налоговых платежей, а также налоговая база, поскольку кадастровая стоимость земельного участка, согласно налоговому</w:t>
      </w:r>
      <w:proofErr w:type="gramEnd"/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законодательству и является налоговой базой для исчисления земельного налога.  </w:t>
      </w:r>
    </w:p>
    <w:p w:rsidR="00675CAA" w:rsidRPr="000128DA" w:rsidRDefault="00675CA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Фактически нецелевое использование земель – это скрытые потери местного бюджета в виде не доначислений пл</w:t>
      </w:r>
      <w:r w:rsidR="00866F39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а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тежей за землю, поскольку ставки земельного налога и арендной платы зависят от вида разрешенного использования каждого</w:t>
      </w:r>
      <w:r w:rsidR="00866F39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отдельно взятого земельного участка.</w:t>
      </w:r>
    </w:p>
    <w:p w:rsidR="00866F39" w:rsidRPr="000128DA" w:rsidRDefault="00866F39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Например, субъект предпринимательства на части своего земельного участка, с оформленными правами на нее (право собственности или аренды) с видом разрешенного использования под склад (или под производственную базу) осуществляет торговлю товарами, продуктами, и т.п.</w:t>
      </w:r>
      <w:r w:rsidR="006A2589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данном случае речь идет как раз о нарушении данным субъектом предпринимательства земельного законодательства в виде использования не по целевому назначению земельного участка, так как земельное законодательство предписывает использовать в соответствии с видом разрешенного использования земельный участок целиком.</w:t>
      </w:r>
    </w:p>
    <w:p w:rsidR="00727ADA" w:rsidRPr="000128DA" w:rsidRDefault="00CC6507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Указанный вид нарушения встречается и в частном жилом секторе, когда граждане на </w:t>
      </w:r>
      <w:proofErr w:type="gramStart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землях</w:t>
      </w:r>
      <w:proofErr w:type="gramEnd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предоставленных для ИЖС или ЛПХ, открывают магазины, СТО, шиномонтажные мастерские, автомойки, при этом,                          не изменяя целевого назначения земель,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что является административным правонарушением, ответственность за которое предусмотрена ч. 1 ст. 8.8 КоАП РФ. </w:t>
      </w:r>
    </w:p>
    <w:p w:rsidR="00727ADA" w:rsidRPr="000128DA" w:rsidRDefault="00727ADA" w:rsidP="00641A46">
      <w:pPr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u w:val="single"/>
        </w:rPr>
        <w:t>Что необходимо сделать, чтобы не допустить данное нарушение:</w:t>
      </w:r>
    </w:p>
    <w:p w:rsidR="00727ADA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- используйте 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земельный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участок в соот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ветствии с целевым назначением;</w:t>
      </w:r>
    </w:p>
    <w:p w:rsidR="00727ADA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-  сведения о целевом назначении земельного участка содержатся в Единомгосударственном реестре недвижимости (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ЕГРН) и в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правоустанавливающих документах н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 земельный участок. Информацию можно получить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путемзапроса выписки 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 ЕГРН, а также посмотрев свои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правоустанавливающие 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документы на земельный участок;</w:t>
      </w:r>
    </w:p>
    <w:p w:rsidR="00BE0F1B" w:rsidRPr="000128DA" w:rsidRDefault="00727AD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 любой вид разрешенного использования из предусмотренных зонированием территорий ви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дов выбирается правообладателем 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самостоятельно, без дополнительных разр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ешений и процедур согласования.</w:t>
      </w:r>
    </w:p>
    <w:p w:rsidR="00BE0F1B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Вместе с тем, для использования зе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мельного участка с иным целевым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назначением необходимо внести изменения в ЕГРН. Тол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ько после внесения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указанных изменений можно гово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рить о законности использования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участка с иным целевым назначением. </w:t>
      </w:r>
    </w:p>
    <w:p w:rsidR="00472D2D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Данные действ</w:t>
      </w:r>
      <w:r w:rsidR="00BE0F1B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ия позволят избежать нарушения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земельного законодательства, и Вы не будете привлечены к административной ответственности в виде весьма значительных штрафных санкций.  </w:t>
      </w:r>
    </w:p>
    <w:p w:rsidR="00D317CA" w:rsidRPr="000128DA" w:rsidRDefault="0013431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</w:t>
      </w:r>
      <w:r w:rsidR="00727ADA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Заблаговременно примите все меры, направленные на самостоятельное выявление и устранение нарушений требований земельного</w:t>
      </w:r>
      <w:r w:rsidR="00472D2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законодательства Российской Федерации.</w:t>
      </w:r>
    </w:p>
    <w:p w:rsidR="00F50C76" w:rsidRPr="000128DA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0128DA" w:rsidRDefault="00F50C76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Отдел по использованию и охране земель Управления архитектуры и градостроительства администрации Елизовского городского поселения проводит консультации в сфере муниципального земельного контроля                    по вопросам соблюдения требований земельного законодательства Российской Федерации по телефону: 8 (41531) 6-40-77 и по адресу: Камчатский край, </w:t>
      </w:r>
      <w:proofErr w:type="gramStart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г</w:t>
      </w:r>
      <w:proofErr w:type="gramEnd"/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. Елизово, ул. В.Кручины, д. 20, кабинет </w:t>
      </w:r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112</w:t>
      </w:r>
      <w:r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в рабочее время</w:t>
      </w:r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, </w:t>
      </w:r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e</w:t>
      </w:r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-</w:t>
      </w:r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  <w:lang w:val="en-US"/>
        </w:rPr>
        <w:t>mail</w:t>
      </w:r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hyperlink r:id="rId6" w:history="1">
        <w:r w:rsidR="000630AD" w:rsidRPr="000128D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arch</w:t>
        </w:r>
        <w:r w:rsidR="000630AD" w:rsidRPr="000128D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@</w:t>
        </w:r>
        <w:proofErr w:type="spellStart"/>
        <w:r w:rsidR="000630AD" w:rsidRPr="000128D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admelizovo</w:t>
        </w:r>
        <w:proofErr w:type="spellEnd"/>
        <w:r w:rsidR="000630AD" w:rsidRPr="000128D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</w:rPr>
          <w:t>.</w:t>
        </w:r>
        <w:proofErr w:type="spellStart"/>
        <w:r w:rsidR="000630AD" w:rsidRPr="000128DA">
          <w:rPr>
            <w:rStyle w:val="a4"/>
            <w:rFonts w:ascii="Times New Roman" w:hAnsi="Times New Roman" w:cs="Times New Roman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 w:rsidR="000630AD" w:rsidRPr="000128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517BFA" w:rsidRPr="000128D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0128DA" w:rsidRDefault="00517BFA" w:rsidP="007B31FE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517BFA" w:rsidRPr="000128DA" w:rsidRDefault="00517BFA" w:rsidP="007B31F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Подготовил: </w:t>
      </w:r>
    </w:p>
    <w:p w:rsidR="00517BFA" w:rsidRPr="000128DA" w:rsidRDefault="00517BFA" w:rsidP="007B31F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начальник отдела </w:t>
      </w:r>
    </w:p>
    <w:p w:rsidR="00517BFA" w:rsidRPr="000128DA" w:rsidRDefault="00517BFA" w:rsidP="007B31F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по использованию и охране земель</w:t>
      </w:r>
    </w:p>
    <w:p w:rsidR="00517BFA" w:rsidRPr="000128DA" w:rsidRDefault="00517BFA" w:rsidP="007B31F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Управления архитектуры и градостроительства</w:t>
      </w:r>
    </w:p>
    <w:p w:rsidR="00F50C76" w:rsidRPr="000128DA" w:rsidRDefault="00517BFA" w:rsidP="007B31FE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0128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администрации Елизовского городского п</w:t>
      </w:r>
      <w:r w:rsidR="00993FF1" w:rsidRPr="000128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оселения                                     </w:t>
      </w:r>
      <w:r w:rsidRPr="000128DA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Р.Н. Поздняков</w:t>
      </w:r>
    </w:p>
    <w:sectPr w:rsidR="00F50C76" w:rsidRPr="000128DA" w:rsidSect="00F50C7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54B60"/>
    <w:multiLevelType w:val="hybridMultilevel"/>
    <w:tmpl w:val="A5BA4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27ADA"/>
    <w:rsid w:val="00006441"/>
    <w:rsid w:val="000128DA"/>
    <w:rsid w:val="000630AD"/>
    <w:rsid w:val="00072DFC"/>
    <w:rsid w:val="00111E8A"/>
    <w:rsid w:val="00134316"/>
    <w:rsid w:val="00170396"/>
    <w:rsid w:val="00226CC6"/>
    <w:rsid w:val="00230BE7"/>
    <w:rsid w:val="002655A7"/>
    <w:rsid w:val="003446AD"/>
    <w:rsid w:val="003619EF"/>
    <w:rsid w:val="00374554"/>
    <w:rsid w:val="003A15D5"/>
    <w:rsid w:val="003E1B3D"/>
    <w:rsid w:val="003E57B0"/>
    <w:rsid w:val="00407722"/>
    <w:rsid w:val="00450861"/>
    <w:rsid w:val="00472D2D"/>
    <w:rsid w:val="004859C7"/>
    <w:rsid w:val="00493CBF"/>
    <w:rsid w:val="00517BFA"/>
    <w:rsid w:val="005438EF"/>
    <w:rsid w:val="0057699C"/>
    <w:rsid w:val="00583D68"/>
    <w:rsid w:val="005E2ECE"/>
    <w:rsid w:val="005E5AF7"/>
    <w:rsid w:val="00616285"/>
    <w:rsid w:val="00641A46"/>
    <w:rsid w:val="00675CAA"/>
    <w:rsid w:val="00697C3F"/>
    <w:rsid w:val="006A2589"/>
    <w:rsid w:val="006C61BB"/>
    <w:rsid w:val="007250A2"/>
    <w:rsid w:val="00727ADA"/>
    <w:rsid w:val="00756225"/>
    <w:rsid w:val="007567A0"/>
    <w:rsid w:val="00783E19"/>
    <w:rsid w:val="007B2D4A"/>
    <w:rsid w:val="007B31FE"/>
    <w:rsid w:val="007C0EBD"/>
    <w:rsid w:val="007E7BEE"/>
    <w:rsid w:val="007F7421"/>
    <w:rsid w:val="00856C92"/>
    <w:rsid w:val="00865AFD"/>
    <w:rsid w:val="00866F39"/>
    <w:rsid w:val="00882C2E"/>
    <w:rsid w:val="008F0E8E"/>
    <w:rsid w:val="009067ED"/>
    <w:rsid w:val="00910F12"/>
    <w:rsid w:val="00966E1F"/>
    <w:rsid w:val="00993FF1"/>
    <w:rsid w:val="009A64EB"/>
    <w:rsid w:val="009C3007"/>
    <w:rsid w:val="009E4CEC"/>
    <w:rsid w:val="009F754F"/>
    <w:rsid w:val="00A070A3"/>
    <w:rsid w:val="00A62115"/>
    <w:rsid w:val="00A70E88"/>
    <w:rsid w:val="00AB4C80"/>
    <w:rsid w:val="00B30122"/>
    <w:rsid w:val="00B725DF"/>
    <w:rsid w:val="00BB791A"/>
    <w:rsid w:val="00BD4DC0"/>
    <w:rsid w:val="00BE0F1B"/>
    <w:rsid w:val="00BF376A"/>
    <w:rsid w:val="00C3163D"/>
    <w:rsid w:val="00CC6507"/>
    <w:rsid w:val="00CE4045"/>
    <w:rsid w:val="00D177F0"/>
    <w:rsid w:val="00D317CA"/>
    <w:rsid w:val="00D5118F"/>
    <w:rsid w:val="00D56A1C"/>
    <w:rsid w:val="00D570DF"/>
    <w:rsid w:val="00D76D3B"/>
    <w:rsid w:val="00D80165"/>
    <w:rsid w:val="00D92B42"/>
    <w:rsid w:val="00E60F88"/>
    <w:rsid w:val="00E97745"/>
    <w:rsid w:val="00F304B0"/>
    <w:rsid w:val="00F50C76"/>
    <w:rsid w:val="00F70C04"/>
    <w:rsid w:val="00F9060C"/>
    <w:rsid w:val="00FD3C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EB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0861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630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@admelizovo.ru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7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Поздняков</dc:creator>
  <cp:lastModifiedBy>Руслан Николаевич</cp:lastModifiedBy>
  <cp:revision>26</cp:revision>
  <cp:lastPrinted>2022-02-01T00:18:00Z</cp:lastPrinted>
  <dcterms:created xsi:type="dcterms:W3CDTF">2022-01-31T22:54:00Z</dcterms:created>
  <dcterms:modified xsi:type="dcterms:W3CDTF">2022-02-16T22:45:00Z</dcterms:modified>
</cp:coreProperties>
</file>